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A936" w14:textId="77777777" w:rsidR="00437DEE" w:rsidRDefault="00437DEE" w:rsidP="009D0FBE">
      <w:pPr>
        <w:pStyle w:val="Heading1"/>
      </w:pPr>
    </w:p>
    <w:p w14:paraId="0E1B1598" w14:textId="77777777" w:rsidR="00437DEE" w:rsidRDefault="00437DEE" w:rsidP="009D0FBE">
      <w:pPr>
        <w:pStyle w:val="Heading1"/>
      </w:pPr>
    </w:p>
    <w:p w14:paraId="76FF97F0" w14:textId="77777777" w:rsidR="00437DEE" w:rsidRDefault="00437DEE" w:rsidP="009D0FBE">
      <w:pPr>
        <w:pStyle w:val="Heading1"/>
      </w:pPr>
    </w:p>
    <w:p w14:paraId="098D2587" w14:textId="77777777" w:rsidR="00437DEE" w:rsidRDefault="00437DEE" w:rsidP="009D0FBE">
      <w:pPr>
        <w:pStyle w:val="Heading1"/>
      </w:pPr>
    </w:p>
    <w:p w14:paraId="6432F322" w14:textId="43E38A1E" w:rsidR="00285181" w:rsidRPr="009D0FBE" w:rsidRDefault="00C87024" w:rsidP="009D0FBE">
      <w:pPr>
        <w:pStyle w:val="Heading1"/>
      </w:pPr>
      <w:bookmarkStart w:id="0" w:name="_Toc117239951"/>
      <w:r>
        <w:t>Mapping Availability of Sexual and Reproductive Health Pharmaceuticals in Melbourne’s Northern Metropolitan Region</w:t>
      </w:r>
      <w:bookmarkEnd w:id="0"/>
    </w:p>
    <w:p w14:paraId="6C02D873" w14:textId="125630D6" w:rsidR="00FC28FF" w:rsidRDefault="00C87024" w:rsidP="00AF16D6">
      <w:pPr>
        <w:pStyle w:val="BodyText"/>
      </w:pPr>
      <w:r>
        <w:t>October 2022</w:t>
      </w:r>
    </w:p>
    <w:p w14:paraId="00E2DE86" w14:textId="77777777" w:rsidR="00FC28FF" w:rsidRDefault="00FC28FF" w:rsidP="00AF16D6">
      <w:pPr>
        <w:pStyle w:val="BodyText"/>
      </w:pPr>
    </w:p>
    <w:p w14:paraId="5E355D04" w14:textId="77777777" w:rsidR="00FC28FF" w:rsidRDefault="00FC28FF" w:rsidP="00AF16D6">
      <w:pPr>
        <w:pStyle w:val="BodyText"/>
      </w:pPr>
    </w:p>
    <w:p w14:paraId="30522582" w14:textId="77777777" w:rsidR="00FC28FF" w:rsidRDefault="00FC28FF" w:rsidP="00AF16D6">
      <w:pPr>
        <w:pStyle w:val="BodyText"/>
      </w:pPr>
    </w:p>
    <w:p w14:paraId="7275F4C5" w14:textId="77777777" w:rsidR="00FC28FF" w:rsidRDefault="00FC28FF" w:rsidP="00AF16D6">
      <w:pPr>
        <w:pStyle w:val="BodyText"/>
      </w:pPr>
    </w:p>
    <w:p w14:paraId="45A8C3F1" w14:textId="77777777" w:rsidR="00FC28FF" w:rsidRDefault="00FC28FF" w:rsidP="00AF16D6">
      <w:pPr>
        <w:pStyle w:val="BodyText"/>
      </w:pPr>
    </w:p>
    <w:p w14:paraId="06D6C634" w14:textId="77777777" w:rsidR="00FC28FF" w:rsidRDefault="00FC28FF" w:rsidP="00AF16D6">
      <w:pPr>
        <w:pStyle w:val="BodyText"/>
      </w:pPr>
    </w:p>
    <w:p w14:paraId="2401EFFB" w14:textId="77777777" w:rsidR="00FC28FF" w:rsidRDefault="00FC28FF" w:rsidP="00AF16D6">
      <w:pPr>
        <w:pStyle w:val="BodyText"/>
      </w:pPr>
    </w:p>
    <w:p w14:paraId="78C3565F" w14:textId="77777777" w:rsidR="00FC28FF" w:rsidRDefault="00FC28FF" w:rsidP="00AF16D6">
      <w:pPr>
        <w:pStyle w:val="BodyText"/>
      </w:pPr>
    </w:p>
    <w:p w14:paraId="5C8414A7" w14:textId="77777777" w:rsidR="00FC28FF" w:rsidRDefault="00FC28FF" w:rsidP="00AF16D6">
      <w:pPr>
        <w:pStyle w:val="BodyText"/>
      </w:pPr>
    </w:p>
    <w:p w14:paraId="29E7FD69" w14:textId="77777777" w:rsidR="00FC28FF" w:rsidRDefault="00FC28FF" w:rsidP="00AF16D6">
      <w:pPr>
        <w:pStyle w:val="BodyText"/>
      </w:pPr>
    </w:p>
    <w:p w14:paraId="1D62F79E" w14:textId="77777777" w:rsidR="00FC28FF" w:rsidRDefault="00FC28FF" w:rsidP="00AF16D6">
      <w:pPr>
        <w:pStyle w:val="BodyText"/>
      </w:pPr>
    </w:p>
    <w:p w14:paraId="4A9747D4" w14:textId="77777777" w:rsidR="00FC28FF" w:rsidRDefault="00FC28FF" w:rsidP="00AF16D6">
      <w:pPr>
        <w:pStyle w:val="BodyText"/>
      </w:pPr>
    </w:p>
    <w:p w14:paraId="62A33930" w14:textId="77777777" w:rsidR="00FC28FF" w:rsidRDefault="00FC28FF" w:rsidP="00AF16D6">
      <w:pPr>
        <w:pStyle w:val="BodyText"/>
      </w:pPr>
    </w:p>
    <w:p w14:paraId="0AB798EF" w14:textId="1A7F7547" w:rsidR="0065474D" w:rsidRPr="009D0FBE" w:rsidRDefault="00FC28FF" w:rsidP="00AF16D6">
      <w:pPr>
        <w:pStyle w:val="BodyText"/>
      </w:pPr>
      <w:r>
        <w:drawing>
          <wp:inline distT="0" distB="0" distL="0" distR="0" wp14:anchorId="26C2D9EC" wp14:editId="13F6D133">
            <wp:extent cx="2767066" cy="1007110"/>
            <wp:effectExtent l="0" t="0" r="1905" b="0"/>
            <wp:docPr id="1" name="Picture 1" descr="Women's Health In the N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men's Health In the North Logo"/>
                    <pic:cNvPicPr/>
                  </pic:nvPicPr>
                  <pic:blipFill>
                    <a:blip r:embed="rId11">
                      <a:extLst>
                        <a:ext uri="{28A0092B-C50C-407E-A947-70E740481C1C}">
                          <a14:useLocalDpi xmlns:a14="http://schemas.microsoft.com/office/drawing/2010/main" val="0"/>
                        </a:ext>
                      </a:extLst>
                    </a:blip>
                    <a:stretch>
                      <a:fillRect/>
                    </a:stretch>
                  </pic:blipFill>
                  <pic:spPr>
                    <a:xfrm>
                      <a:off x="0" y="0"/>
                      <a:ext cx="2807359" cy="1021775"/>
                    </a:xfrm>
                    <a:prstGeom prst="rect">
                      <a:avLst/>
                    </a:prstGeom>
                  </pic:spPr>
                </pic:pic>
              </a:graphicData>
            </a:graphic>
          </wp:inline>
        </w:drawing>
      </w:r>
      <w:r w:rsidR="0065474D" w:rsidRPr="009D0FBE">
        <w:br w:type="page"/>
      </w:r>
    </w:p>
    <w:p w14:paraId="2B543E7A" w14:textId="34DD36D7" w:rsidR="008D4D2E" w:rsidRPr="009D0FBE" w:rsidRDefault="008D4D2E" w:rsidP="00CA3630">
      <w:pPr>
        <w:pStyle w:val="Heading2"/>
      </w:pPr>
      <w:bookmarkStart w:id="1" w:name="_Toc117239952"/>
      <w:r w:rsidRPr="009D0FBE">
        <w:lastRenderedPageBreak/>
        <w:t>Acknowledgements</w:t>
      </w:r>
      <w:bookmarkEnd w:id="1"/>
    </w:p>
    <w:p w14:paraId="2228FFD2" w14:textId="15C93501" w:rsidR="6A8C81D2" w:rsidRPr="009D0FBE" w:rsidRDefault="008D4D2E" w:rsidP="00AF16D6">
      <w:pPr>
        <w:pStyle w:val="BodyText"/>
      </w:pPr>
      <w:r w:rsidRPr="009D0FBE">
        <w:t>Women’s Health In the North acknowledges Victorian Aboriginal people as the Traditional Owners of the land on which we provide our services – the Wurundjeri</w:t>
      </w:r>
      <w:r w:rsidR="00914626" w:rsidRPr="009D0FBE">
        <w:t xml:space="preserve"> Woi Wurrung</w:t>
      </w:r>
      <w:r w:rsidRPr="009D0FBE">
        <w:t xml:space="preserve"> people of the Kulin nation – and pay our respects to their Elders past and present. We acknowledge the </w:t>
      </w:r>
      <w:r w:rsidR="004F1420" w:rsidRPr="009D0FBE">
        <w:t>historical trauma and ongoing systemic injustice that continues today</w:t>
      </w:r>
      <w:r w:rsidR="004D504F" w:rsidRPr="009D0FBE">
        <w:t>, particularly in relation to sexual and reproductive health</w:t>
      </w:r>
      <w:r w:rsidRPr="009D0FBE">
        <w:t xml:space="preserve">. As First Peoples, Aboriginal Victorians are best placed to determine a culturally appropriate path to </w:t>
      </w:r>
      <w:r w:rsidR="00914626" w:rsidRPr="009D0FBE">
        <w:t>promoting sexual and reproductive health</w:t>
      </w:r>
      <w:r w:rsidRPr="009D0FBE">
        <w:t xml:space="preserve"> in their communities. WHIN acknowledges that Aboriginal sovereignty was never ceded and expresses hope for justice and reconciliation. </w:t>
      </w:r>
    </w:p>
    <w:p w14:paraId="79974BAF" w14:textId="6E6898F1" w:rsidR="00D55004" w:rsidRDefault="00D55004" w:rsidP="009D0FBE"/>
    <w:p w14:paraId="3DC0389B" w14:textId="1248713F" w:rsidR="006804CA" w:rsidRDefault="006804CA" w:rsidP="009D0FBE"/>
    <w:p w14:paraId="002D36B0" w14:textId="6197A546" w:rsidR="006804CA" w:rsidRDefault="006804CA" w:rsidP="009D0FBE"/>
    <w:p w14:paraId="11AC5623" w14:textId="1B712734" w:rsidR="006804CA" w:rsidRDefault="006804CA" w:rsidP="009D0FBE"/>
    <w:p w14:paraId="5EF9A8FD" w14:textId="2AD4ED78" w:rsidR="006804CA" w:rsidRDefault="006804CA" w:rsidP="009D0FBE"/>
    <w:p w14:paraId="45A6DC3A" w14:textId="77777777" w:rsidR="006804CA" w:rsidRPr="009D0FBE" w:rsidRDefault="006804CA" w:rsidP="009D0FBE"/>
    <w:p w14:paraId="4057FE45" w14:textId="77777777" w:rsidR="00C87024" w:rsidRDefault="00C87024" w:rsidP="00AF16D6">
      <w:pPr>
        <w:pStyle w:val="BodyText"/>
      </w:pPr>
      <w:r>
        <w:t xml:space="preserve">© Women’s Health In the North (2022) </w:t>
      </w:r>
    </w:p>
    <w:p w14:paraId="0AC27B54" w14:textId="77777777" w:rsidR="00C87024" w:rsidRDefault="00C87024" w:rsidP="00AF16D6">
      <w:pPr>
        <w:pStyle w:val="BodyText"/>
      </w:pPr>
      <w:r>
        <w:t xml:space="preserve">This report and all its components (including formulas, data, images, and text) are copyright. Apart from fair dealing for the purposes of research, planning or review as permitted under the Copyright Act 1968, no part may be reproduced, copied or transmitted in any form or by any means (electronic, mechanical or graphic) without the prior written permission of Women’s Health In the North. All requests and enquiries concerning reproduction and rights should be directed to the Manager Corporate Services, Women’s Health In the North. </w:t>
      </w:r>
    </w:p>
    <w:p w14:paraId="62020C52" w14:textId="77777777" w:rsidR="00C87024" w:rsidRDefault="00C87024" w:rsidP="00AF16D6">
      <w:pPr>
        <w:pStyle w:val="BodyText"/>
      </w:pPr>
      <w:r>
        <w:t xml:space="preserve">Suggested Citation: Women’s Health In the North. (2022). Mapping Availability of Sexual and Reproductive Health Pharmaceuticals in Melbourne’s Northern Metropolitan Region. Thornbury: Women’s Health In the North. </w:t>
      </w:r>
    </w:p>
    <w:p w14:paraId="039F9895" w14:textId="77777777" w:rsidR="00C87024" w:rsidRPr="006804CA" w:rsidRDefault="00C87024" w:rsidP="00AF16D6">
      <w:pPr>
        <w:pStyle w:val="BodyText"/>
      </w:pPr>
      <w:r w:rsidRPr="006804CA">
        <w:t xml:space="preserve">For more information: </w:t>
      </w:r>
    </w:p>
    <w:p w14:paraId="6A093C0A" w14:textId="087714EF" w:rsidR="00D55004" w:rsidRPr="009D0FBE" w:rsidRDefault="00C87024" w:rsidP="00AF16D6">
      <w:pPr>
        <w:pStyle w:val="BodyText"/>
      </w:pPr>
      <w:r>
        <w:t>Women’s Health In the North</w:t>
      </w:r>
      <w:r>
        <w:br/>
        <w:t>680 High Street, Thornbury VIC 3071 (03) 9484 1666</w:t>
      </w:r>
      <w:r>
        <w:br/>
        <w:t>info@whin.org.au</w:t>
      </w:r>
      <w:r>
        <w:br/>
        <w:t xml:space="preserve">www.whin.org.au </w:t>
      </w:r>
    </w:p>
    <w:p w14:paraId="46822A9C" w14:textId="3C3F78C7" w:rsidR="008D4D2E" w:rsidRDefault="008D4D2E" w:rsidP="00AF16D6">
      <w:pPr>
        <w:pStyle w:val="BodyText"/>
      </w:pPr>
      <w:r w:rsidRPr="009D0FBE">
        <w:t xml:space="preserve">Women’s Health In the North acknowledges the support of the Victorian Government. </w:t>
      </w:r>
    </w:p>
    <w:p w14:paraId="7FCD1DA9" w14:textId="77777777" w:rsidR="00964C40" w:rsidRPr="009D0FBE" w:rsidRDefault="00964C40" w:rsidP="00AF16D6">
      <w:pPr>
        <w:pStyle w:val="BodyText"/>
      </w:pPr>
    </w:p>
    <w:p w14:paraId="5AACCBFF" w14:textId="70969167" w:rsidR="00CA40C7" w:rsidRPr="009D0FBE" w:rsidRDefault="008E28F8" w:rsidP="009D0FBE">
      <w:r>
        <w:rPr>
          <w:noProof/>
        </w:rPr>
        <w:drawing>
          <wp:inline distT="0" distB="0" distL="0" distR="0" wp14:anchorId="5B550B3C" wp14:editId="1B4A3945">
            <wp:extent cx="1282700" cy="733704"/>
            <wp:effectExtent l="0" t="0" r="0" b="3175"/>
            <wp:docPr id="2" name="Picture 2" descr="Victorian State Governmen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n State Government Logo&#10;&#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7683" cy="742274"/>
                    </a:xfrm>
                    <a:prstGeom prst="rect">
                      <a:avLst/>
                    </a:prstGeom>
                  </pic:spPr>
                </pic:pic>
              </a:graphicData>
            </a:graphic>
          </wp:inline>
        </w:drawing>
      </w:r>
    </w:p>
    <w:p w14:paraId="3F44FB15" w14:textId="77777777" w:rsidR="00032E82" w:rsidRDefault="00B666BD" w:rsidP="009D0FBE">
      <w:r w:rsidRPr="009D0FBE">
        <w:br w:type="page"/>
      </w:r>
    </w:p>
    <w:sdt>
      <w:sdtPr>
        <w:rPr>
          <w:rFonts w:eastAsia="Poppins Light"/>
          <w:b w:val="0"/>
          <w:noProof/>
          <w:color w:val="000000" w:themeColor="text1"/>
          <w:sz w:val="24"/>
          <w:szCs w:val="20"/>
          <w:lang w:val="en-NZ"/>
        </w:rPr>
        <w:id w:val="-1065790237"/>
        <w:docPartObj>
          <w:docPartGallery w:val="Table of Contents"/>
          <w:docPartUnique/>
        </w:docPartObj>
      </w:sdtPr>
      <w:sdtEndPr>
        <w:rPr>
          <w:color w:val="000000"/>
          <w:sz w:val="22"/>
          <w:szCs w:val="22"/>
          <w:shd w:val="clear" w:color="auto" w:fill="FFFFFF"/>
        </w:rPr>
      </w:sdtEndPr>
      <w:sdtContent>
        <w:p w14:paraId="2618B172" w14:textId="41407109" w:rsidR="00032E82" w:rsidRPr="00D0751E" w:rsidRDefault="00032E82">
          <w:pPr>
            <w:pStyle w:val="TOCHeading"/>
            <w:rPr>
              <w:b w:val="0"/>
              <w:bCs w:val="0"/>
              <w:sz w:val="24"/>
              <w:szCs w:val="24"/>
            </w:rPr>
          </w:pPr>
          <w:r w:rsidRPr="00050A96">
            <w:rPr>
              <w:b w:val="0"/>
              <w:bCs w:val="0"/>
              <w:sz w:val="24"/>
              <w:szCs w:val="24"/>
            </w:rPr>
            <w:t>Table of Contents</w:t>
          </w:r>
        </w:p>
        <w:p w14:paraId="517AA9AF" w14:textId="2CDBC6D5" w:rsidR="00CA3630" w:rsidRDefault="002A7AEE">
          <w:pPr>
            <w:pStyle w:val="TOC1"/>
            <w:tabs>
              <w:tab w:val="right" w:leader="dot" w:pos="9730"/>
            </w:tabs>
            <w:rPr>
              <w:rFonts w:asciiTheme="minorHAnsi" w:eastAsiaTheme="minorEastAsia" w:hAnsiTheme="minorHAnsi" w:cstheme="minorBidi"/>
              <w:bCs w:val="0"/>
              <w:iCs w:val="0"/>
              <w:noProof/>
              <w:sz w:val="24"/>
            </w:rPr>
          </w:pPr>
          <w:r w:rsidRPr="00D0751E">
            <w:rPr>
              <w:b/>
            </w:rPr>
            <w:fldChar w:fldCharType="begin"/>
          </w:r>
          <w:r w:rsidRPr="00D0751E">
            <w:instrText xml:space="preserve"> TOC \o "1-2" \h \z \u </w:instrText>
          </w:r>
          <w:r w:rsidRPr="00D0751E">
            <w:rPr>
              <w:b/>
            </w:rPr>
            <w:fldChar w:fldCharType="separate"/>
          </w:r>
          <w:hyperlink w:anchor="_Toc117239951" w:history="1">
            <w:r w:rsidR="00CA3630" w:rsidRPr="00894877">
              <w:rPr>
                <w:rStyle w:val="Hyperlink"/>
                <w:noProof/>
              </w:rPr>
              <w:t>Mapping Availability of Sexual and Reproductive Health Pharmaceuticals in Melbourne’s Northern Metropolitan Region</w:t>
            </w:r>
            <w:r w:rsidR="00CA3630">
              <w:rPr>
                <w:noProof/>
                <w:webHidden/>
              </w:rPr>
              <w:tab/>
            </w:r>
            <w:r w:rsidR="00CA3630">
              <w:rPr>
                <w:noProof/>
                <w:webHidden/>
              </w:rPr>
              <w:fldChar w:fldCharType="begin"/>
            </w:r>
            <w:r w:rsidR="00CA3630">
              <w:rPr>
                <w:noProof/>
                <w:webHidden/>
              </w:rPr>
              <w:instrText xml:space="preserve"> PAGEREF _Toc117239951 \h </w:instrText>
            </w:r>
            <w:r w:rsidR="00CA3630">
              <w:rPr>
                <w:noProof/>
                <w:webHidden/>
              </w:rPr>
            </w:r>
            <w:r w:rsidR="00CA3630">
              <w:rPr>
                <w:noProof/>
                <w:webHidden/>
              </w:rPr>
              <w:fldChar w:fldCharType="separate"/>
            </w:r>
            <w:r w:rsidR="00CA3630">
              <w:rPr>
                <w:noProof/>
                <w:webHidden/>
              </w:rPr>
              <w:t>1</w:t>
            </w:r>
            <w:r w:rsidR="00CA3630">
              <w:rPr>
                <w:noProof/>
                <w:webHidden/>
              </w:rPr>
              <w:fldChar w:fldCharType="end"/>
            </w:r>
          </w:hyperlink>
        </w:p>
        <w:p w14:paraId="69CC7304" w14:textId="341A62E9" w:rsidR="00CA3630" w:rsidRDefault="00CA3630">
          <w:pPr>
            <w:pStyle w:val="TOC2"/>
            <w:tabs>
              <w:tab w:val="right" w:leader="dot" w:pos="9730"/>
            </w:tabs>
            <w:rPr>
              <w:rFonts w:asciiTheme="minorHAnsi" w:eastAsiaTheme="minorEastAsia" w:hAnsiTheme="minorHAnsi" w:cstheme="minorBidi"/>
              <w:bCs w:val="0"/>
              <w:noProof/>
              <w:sz w:val="24"/>
              <w:szCs w:val="24"/>
            </w:rPr>
          </w:pPr>
          <w:hyperlink w:anchor="_Toc117239952" w:history="1">
            <w:r w:rsidRPr="00894877">
              <w:rPr>
                <w:rStyle w:val="Hyperlink"/>
                <w:noProof/>
              </w:rPr>
              <w:t>Acknowledgements</w:t>
            </w:r>
            <w:r>
              <w:rPr>
                <w:noProof/>
                <w:webHidden/>
              </w:rPr>
              <w:tab/>
            </w:r>
            <w:r>
              <w:rPr>
                <w:noProof/>
                <w:webHidden/>
              </w:rPr>
              <w:fldChar w:fldCharType="begin"/>
            </w:r>
            <w:r>
              <w:rPr>
                <w:noProof/>
                <w:webHidden/>
              </w:rPr>
              <w:instrText xml:space="preserve"> PAGEREF _Toc117239952 \h </w:instrText>
            </w:r>
            <w:r>
              <w:rPr>
                <w:noProof/>
                <w:webHidden/>
              </w:rPr>
            </w:r>
            <w:r>
              <w:rPr>
                <w:noProof/>
                <w:webHidden/>
              </w:rPr>
              <w:fldChar w:fldCharType="separate"/>
            </w:r>
            <w:r>
              <w:rPr>
                <w:noProof/>
                <w:webHidden/>
              </w:rPr>
              <w:t>2</w:t>
            </w:r>
            <w:r>
              <w:rPr>
                <w:noProof/>
                <w:webHidden/>
              </w:rPr>
              <w:fldChar w:fldCharType="end"/>
            </w:r>
          </w:hyperlink>
        </w:p>
        <w:p w14:paraId="6365557D" w14:textId="1B9F6691" w:rsidR="00CA3630" w:rsidRDefault="00CA3630">
          <w:pPr>
            <w:pStyle w:val="TOC2"/>
            <w:tabs>
              <w:tab w:val="right" w:leader="dot" w:pos="9730"/>
            </w:tabs>
            <w:rPr>
              <w:rFonts w:asciiTheme="minorHAnsi" w:eastAsiaTheme="minorEastAsia" w:hAnsiTheme="minorHAnsi" w:cstheme="minorBidi"/>
              <w:bCs w:val="0"/>
              <w:noProof/>
              <w:sz w:val="24"/>
              <w:szCs w:val="24"/>
            </w:rPr>
          </w:pPr>
          <w:hyperlink w:anchor="_Toc117239953" w:history="1">
            <w:r w:rsidRPr="00894877">
              <w:rPr>
                <w:rStyle w:val="Hyperlink"/>
                <w:noProof/>
              </w:rPr>
              <w:t>Acronyms</w:t>
            </w:r>
            <w:r>
              <w:rPr>
                <w:noProof/>
                <w:webHidden/>
              </w:rPr>
              <w:tab/>
            </w:r>
            <w:r>
              <w:rPr>
                <w:noProof/>
                <w:webHidden/>
              </w:rPr>
              <w:fldChar w:fldCharType="begin"/>
            </w:r>
            <w:r>
              <w:rPr>
                <w:noProof/>
                <w:webHidden/>
              </w:rPr>
              <w:instrText xml:space="preserve"> PAGEREF _Toc117239953 \h </w:instrText>
            </w:r>
            <w:r>
              <w:rPr>
                <w:noProof/>
                <w:webHidden/>
              </w:rPr>
            </w:r>
            <w:r>
              <w:rPr>
                <w:noProof/>
                <w:webHidden/>
              </w:rPr>
              <w:fldChar w:fldCharType="separate"/>
            </w:r>
            <w:r>
              <w:rPr>
                <w:noProof/>
                <w:webHidden/>
              </w:rPr>
              <w:t>3</w:t>
            </w:r>
            <w:r>
              <w:rPr>
                <w:noProof/>
                <w:webHidden/>
              </w:rPr>
              <w:fldChar w:fldCharType="end"/>
            </w:r>
          </w:hyperlink>
        </w:p>
        <w:p w14:paraId="418D91F9" w14:textId="47ED6D2E" w:rsidR="00CA3630" w:rsidRDefault="00CA3630">
          <w:pPr>
            <w:pStyle w:val="TOC2"/>
            <w:tabs>
              <w:tab w:val="right" w:leader="dot" w:pos="9730"/>
            </w:tabs>
            <w:rPr>
              <w:rFonts w:asciiTheme="minorHAnsi" w:eastAsiaTheme="minorEastAsia" w:hAnsiTheme="minorHAnsi" w:cstheme="minorBidi"/>
              <w:bCs w:val="0"/>
              <w:noProof/>
              <w:sz w:val="24"/>
              <w:szCs w:val="24"/>
            </w:rPr>
          </w:pPr>
          <w:hyperlink w:anchor="_Toc117239954" w:history="1">
            <w:r w:rsidRPr="00894877">
              <w:rPr>
                <w:rStyle w:val="Hyperlink"/>
                <w:noProof/>
              </w:rPr>
              <w:t>Executive Summary</w:t>
            </w:r>
            <w:r>
              <w:rPr>
                <w:noProof/>
                <w:webHidden/>
              </w:rPr>
              <w:tab/>
            </w:r>
            <w:r>
              <w:rPr>
                <w:noProof/>
                <w:webHidden/>
              </w:rPr>
              <w:fldChar w:fldCharType="begin"/>
            </w:r>
            <w:r>
              <w:rPr>
                <w:noProof/>
                <w:webHidden/>
              </w:rPr>
              <w:instrText xml:space="preserve"> PAGEREF _Toc117239954 \h </w:instrText>
            </w:r>
            <w:r>
              <w:rPr>
                <w:noProof/>
                <w:webHidden/>
              </w:rPr>
            </w:r>
            <w:r>
              <w:rPr>
                <w:noProof/>
                <w:webHidden/>
              </w:rPr>
              <w:fldChar w:fldCharType="separate"/>
            </w:r>
            <w:r>
              <w:rPr>
                <w:noProof/>
                <w:webHidden/>
              </w:rPr>
              <w:t>4</w:t>
            </w:r>
            <w:r>
              <w:rPr>
                <w:noProof/>
                <w:webHidden/>
              </w:rPr>
              <w:fldChar w:fldCharType="end"/>
            </w:r>
          </w:hyperlink>
        </w:p>
        <w:p w14:paraId="6F25D712" w14:textId="1719F40B" w:rsidR="00CA3630" w:rsidRDefault="00CA3630">
          <w:pPr>
            <w:pStyle w:val="TOC2"/>
            <w:tabs>
              <w:tab w:val="right" w:leader="dot" w:pos="9730"/>
            </w:tabs>
            <w:rPr>
              <w:rFonts w:asciiTheme="minorHAnsi" w:eastAsiaTheme="minorEastAsia" w:hAnsiTheme="minorHAnsi" w:cstheme="minorBidi"/>
              <w:bCs w:val="0"/>
              <w:noProof/>
              <w:sz w:val="24"/>
              <w:szCs w:val="24"/>
            </w:rPr>
          </w:pPr>
          <w:hyperlink w:anchor="_Toc117239955" w:history="1">
            <w:r w:rsidRPr="00894877">
              <w:rPr>
                <w:rStyle w:val="Hyperlink"/>
                <w:noProof/>
              </w:rPr>
              <w:t>About Women’s Health In the North</w:t>
            </w:r>
            <w:r>
              <w:rPr>
                <w:noProof/>
                <w:webHidden/>
              </w:rPr>
              <w:tab/>
            </w:r>
            <w:r>
              <w:rPr>
                <w:noProof/>
                <w:webHidden/>
              </w:rPr>
              <w:fldChar w:fldCharType="begin"/>
            </w:r>
            <w:r>
              <w:rPr>
                <w:noProof/>
                <w:webHidden/>
              </w:rPr>
              <w:instrText xml:space="preserve"> PAGEREF _Toc117239955 \h </w:instrText>
            </w:r>
            <w:r>
              <w:rPr>
                <w:noProof/>
                <w:webHidden/>
              </w:rPr>
            </w:r>
            <w:r>
              <w:rPr>
                <w:noProof/>
                <w:webHidden/>
              </w:rPr>
              <w:fldChar w:fldCharType="separate"/>
            </w:r>
            <w:r>
              <w:rPr>
                <w:noProof/>
                <w:webHidden/>
              </w:rPr>
              <w:t>6</w:t>
            </w:r>
            <w:r>
              <w:rPr>
                <w:noProof/>
                <w:webHidden/>
              </w:rPr>
              <w:fldChar w:fldCharType="end"/>
            </w:r>
          </w:hyperlink>
        </w:p>
        <w:p w14:paraId="19B8B0AC" w14:textId="45ABBBF2" w:rsidR="00CA3630" w:rsidRDefault="00CA3630">
          <w:pPr>
            <w:pStyle w:val="TOC2"/>
            <w:tabs>
              <w:tab w:val="right" w:leader="dot" w:pos="9730"/>
            </w:tabs>
            <w:rPr>
              <w:rFonts w:asciiTheme="minorHAnsi" w:eastAsiaTheme="minorEastAsia" w:hAnsiTheme="minorHAnsi" w:cstheme="minorBidi"/>
              <w:bCs w:val="0"/>
              <w:noProof/>
              <w:sz w:val="24"/>
              <w:szCs w:val="24"/>
            </w:rPr>
          </w:pPr>
          <w:hyperlink w:anchor="_Toc117239956" w:history="1">
            <w:r w:rsidRPr="00894877">
              <w:rPr>
                <w:rStyle w:val="Hyperlink"/>
                <w:noProof/>
              </w:rPr>
              <w:t>Background</w:t>
            </w:r>
            <w:r>
              <w:rPr>
                <w:noProof/>
                <w:webHidden/>
              </w:rPr>
              <w:tab/>
            </w:r>
            <w:r>
              <w:rPr>
                <w:noProof/>
                <w:webHidden/>
              </w:rPr>
              <w:fldChar w:fldCharType="begin"/>
            </w:r>
            <w:r>
              <w:rPr>
                <w:noProof/>
                <w:webHidden/>
              </w:rPr>
              <w:instrText xml:space="preserve"> PAGEREF _Toc117239956 \h </w:instrText>
            </w:r>
            <w:r>
              <w:rPr>
                <w:noProof/>
                <w:webHidden/>
              </w:rPr>
            </w:r>
            <w:r>
              <w:rPr>
                <w:noProof/>
                <w:webHidden/>
              </w:rPr>
              <w:fldChar w:fldCharType="separate"/>
            </w:r>
            <w:r>
              <w:rPr>
                <w:noProof/>
                <w:webHidden/>
              </w:rPr>
              <w:t>6</w:t>
            </w:r>
            <w:r>
              <w:rPr>
                <w:noProof/>
                <w:webHidden/>
              </w:rPr>
              <w:fldChar w:fldCharType="end"/>
            </w:r>
          </w:hyperlink>
        </w:p>
        <w:p w14:paraId="5D5E75F2" w14:textId="6829C092" w:rsidR="00CA3630" w:rsidRDefault="00CA3630">
          <w:pPr>
            <w:pStyle w:val="TOC2"/>
            <w:tabs>
              <w:tab w:val="right" w:leader="dot" w:pos="9730"/>
            </w:tabs>
            <w:rPr>
              <w:rFonts w:asciiTheme="minorHAnsi" w:eastAsiaTheme="minorEastAsia" w:hAnsiTheme="minorHAnsi" w:cstheme="minorBidi"/>
              <w:bCs w:val="0"/>
              <w:noProof/>
              <w:sz w:val="24"/>
              <w:szCs w:val="24"/>
            </w:rPr>
          </w:pPr>
          <w:hyperlink w:anchor="_Toc117239957" w:history="1">
            <w:r w:rsidRPr="00894877">
              <w:rPr>
                <w:rStyle w:val="Hyperlink"/>
                <w:noProof/>
              </w:rPr>
              <w:t>Aims</w:t>
            </w:r>
            <w:r>
              <w:rPr>
                <w:noProof/>
                <w:webHidden/>
              </w:rPr>
              <w:tab/>
            </w:r>
            <w:r>
              <w:rPr>
                <w:noProof/>
                <w:webHidden/>
              </w:rPr>
              <w:fldChar w:fldCharType="begin"/>
            </w:r>
            <w:r>
              <w:rPr>
                <w:noProof/>
                <w:webHidden/>
              </w:rPr>
              <w:instrText xml:space="preserve"> PAGEREF _Toc117239957 \h </w:instrText>
            </w:r>
            <w:r>
              <w:rPr>
                <w:noProof/>
                <w:webHidden/>
              </w:rPr>
            </w:r>
            <w:r>
              <w:rPr>
                <w:noProof/>
                <w:webHidden/>
              </w:rPr>
              <w:fldChar w:fldCharType="separate"/>
            </w:r>
            <w:r>
              <w:rPr>
                <w:noProof/>
                <w:webHidden/>
              </w:rPr>
              <w:t>9</w:t>
            </w:r>
            <w:r>
              <w:rPr>
                <w:noProof/>
                <w:webHidden/>
              </w:rPr>
              <w:fldChar w:fldCharType="end"/>
            </w:r>
          </w:hyperlink>
        </w:p>
        <w:p w14:paraId="0BDFBF5A" w14:textId="6015BF45" w:rsidR="00CA3630" w:rsidRDefault="00CA3630">
          <w:pPr>
            <w:pStyle w:val="TOC2"/>
            <w:tabs>
              <w:tab w:val="right" w:leader="dot" w:pos="9730"/>
            </w:tabs>
            <w:rPr>
              <w:rFonts w:asciiTheme="minorHAnsi" w:eastAsiaTheme="minorEastAsia" w:hAnsiTheme="minorHAnsi" w:cstheme="minorBidi"/>
              <w:bCs w:val="0"/>
              <w:noProof/>
              <w:sz w:val="24"/>
              <w:szCs w:val="24"/>
            </w:rPr>
          </w:pPr>
          <w:hyperlink w:anchor="_Toc117239958" w:history="1">
            <w:r w:rsidRPr="00894877">
              <w:rPr>
                <w:rStyle w:val="Hyperlink"/>
                <w:noProof/>
              </w:rPr>
              <w:t>Findings</w:t>
            </w:r>
            <w:r>
              <w:rPr>
                <w:noProof/>
                <w:webHidden/>
              </w:rPr>
              <w:tab/>
            </w:r>
            <w:r>
              <w:rPr>
                <w:noProof/>
                <w:webHidden/>
              </w:rPr>
              <w:fldChar w:fldCharType="begin"/>
            </w:r>
            <w:r>
              <w:rPr>
                <w:noProof/>
                <w:webHidden/>
              </w:rPr>
              <w:instrText xml:space="preserve"> PAGEREF _Toc117239958 \h </w:instrText>
            </w:r>
            <w:r>
              <w:rPr>
                <w:noProof/>
                <w:webHidden/>
              </w:rPr>
            </w:r>
            <w:r>
              <w:rPr>
                <w:noProof/>
                <w:webHidden/>
              </w:rPr>
              <w:fldChar w:fldCharType="separate"/>
            </w:r>
            <w:r>
              <w:rPr>
                <w:noProof/>
                <w:webHidden/>
              </w:rPr>
              <w:t>11</w:t>
            </w:r>
            <w:r>
              <w:rPr>
                <w:noProof/>
                <w:webHidden/>
              </w:rPr>
              <w:fldChar w:fldCharType="end"/>
            </w:r>
          </w:hyperlink>
        </w:p>
        <w:p w14:paraId="21BC8B88" w14:textId="1CE6DEAC" w:rsidR="00CA3630" w:rsidRDefault="00CA3630">
          <w:pPr>
            <w:pStyle w:val="TOC2"/>
            <w:tabs>
              <w:tab w:val="right" w:leader="dot" w:pos="9730"/>
            </w:tabs>
            <w:rPr>
              <w:rFonts w:asciiTheme="minorHAnsi" w:eastAsiaTheme="minorEastAsia" w:hAnsiTheme="minorHAnsi" w:cstheme="minorBidi"/>
              <w:bCs w:val="0"/>
              <w:noProof/>
              <w:sz w:val="24"/>
              <w:szCs w:val="24"/>
            </w:rPr>
          </w:pPr>
          <w:hyperlink w:anchor="_Toc117239959" w:history="1">
            <w:r w:rsidRPr="00894877">
              <w:rPr>
                <w:rStyle w:val="Hyperlink"/>
                <w:noProof/>
              </w:rPr>
              <w:t>Discussion</w:t>
            </w:r>
            <w:r>
              <w:rPr>
                <w:noProof/>
                <w:webHidden/>
              </w:rPr>
              <w:tab/>
            </w:r>
            <w:r>
              <w:rPr>
                <w:noProof/>
                <w:webHidden/>
              </w:rPr>
              <w:fldChar w:fldCharType="begin"/>
            </w:r>
            <w:r>
              <w:rPr>
                <w:noProof/>
                <w:webHidden/>
              </w:rPr>
              <w:instrText xml:space="preserve"> PAGEREF _Toc117239959 \h </w:instrText>
            </w:r>
            <w:r>
              <w:rPr>
                <w:noProof/>
                <w:webHidden/>
              </w:rPr>
            </w:r>
            <w:r>
              <w:rPr>
                <w:noProof/>
                <w:webHidden/>
              </w:rPr>
              <w:fldChar w:fldCharType="separate"/>
            </w:r>
            <w:r>
              <w:rPr>
                <w:noProof/>
                <w:webHidden/>
              </w:rPr>
              <w:t>23</w:t>
            </w:r>
            <w:r>
              <w:rPr>
                <w:noProof/>
                <w:webHidden/>
              </w:rPr>
              <w:fldChar w:fldCharType="end"/>
            </w:r>
          </w:hyperlink>
        </w:p>
        <w:p w14:paraId="59419DD9" w14:textId="378C591B" w:rsidR="00CA3630" w:rsidRDefault="00CA3630">
          <w:pPr>
            <w:pStyle w:val="TOC2"/>
            <w:tabs>
              <w:tab w:val="right" w:leader="dot" w:pos="9730"/>
            </w:tabs>
            <w:rPr>
              <w:rFonts w:asciiTheme="minorHAnsi" w:eastAsiaTheme="minorEastAsia" w:hAnsiTheme="minorHAnsi" w:cstheme="minorBidi"/>
              <w:bCs w:val="0"/>
              <w:noProof/>
              <w:sz w:val="24"/>
              <w:szCs w:val="24"/>
            </w:rPr>
          </w:pPr>
          <w:hyperlink w:anchor="_Toc117239960" w:history="1">
            <w:r w:rsidRPr="00894877">
              <w:rPr>
                <w:rStyle w:val="Hyperlink"/>
                <w:noProof/>
              </w:rPr>
              <w:t>References</w:t>
            </w:r>
            <w:r>
              <w:rPr>
                <w:noProof/>
                <w:webHidden/>
              </w:rPr>
              <w:tab/>
            </w:r>
            <w:r>
              <w:rPr>
                <w:noProof/>
                <w:webHidden/>
              </w:rPr>
              <w:fldChar w:fldCharType="begin"/>
            </w:r>
            <w:r>
              <w:rPr>
                <w:noProof/>
                <w:webHidden/>
              </w:rPr>
              <w:instrText xml:space="preserve"> PAGEREF _Toc117239960 \h </w:instrText>
            </w:r>
            <w:r>
              <w:rPr>
                <w:noProof/>
                <w:webHidden/>
              </w:rPr>
            </w:r>
            <w:r>
              <w:rPr>
                <w:noProof/>
                <w:webHidden/>
              </w:rPr>
              <w:fldChar w:fldCharType="separate"/>
            </w:r>
            <w:r>
              <w:rPr>
                <w:noProof/>
                <w:webHidden/>
              </w:rPr>
              <w:t>26</w:t>
            </w:r>
            <w:r>
              <w:rPr>
                <w:noProof/>
                <w:webHidden/>
              </w:rPr>
              <w:fldChar w:fldCharType="end"/>
            </w:r>
          </w:hyperlink>
        </w:p>
        <w:p w14:paraId="5B9B7EAE" w14:textId="45516593" w:rsidR="00050A96" w:rsidRDefault="002A7AEE" w:rsidP="00AF16D6">
          <w:pPr>
            <w:pStyle w:val="BodyText"/>
          </w:pPr>
          <w:r w:rsidRPr="00D0751E">
            <w:rPr>
              <w:i/>
              <w:iCs/>
              <w:szCs w:val="24"/>
            </w:rPr>
            <w:fldChar w:fldCharType="end"/>
          </w:r>
        </w:p>
      </w:sdtContent>
    </w:sdt>
    <w:p w14:paraId="5EF6FEBE" w14:textId="0A376813" w:rsidR="0065474D" w:rsidRPr="009D0FBE" w:rsidRDefault="006A20D5" w:rsidP="00CA3630">
      <w:pPr>
        <w:pStyle w:val="Heading2"/>
      </w:pPr>
      <w:bookmarkStart w:id="2" w:name="_Toc117239953"/>
      <w:r w:rsidRPr="009D0FBE">
        <w:t>Acronyms</w:t>
      </w:r>
      <w:bookmarkEnd w:id="2"/>
    </w:p>
    <w:p w14:paraId="3CE80D1D" w14:textId="77777777" w:rsidR="00654125" w:rsidRDefault="00654125" w:rsidP="00AF16D6">
      <w:pPr>
        <w:pStyle w:val="BodyText"/>
      </w:pPr>
      <w:r>
        <w:t>COVID-19</w:t>
      </w:r>
      <w:r>
        <w:tab/>
        <w:t>SARS-CoV-2 virus</w:t>
      </w:r>
    </w:p>
    <w:p w14:paraId="2D4BE95A" w14:textId="05A8803C" w:rsidR="00654125" w:rsidRDefault="00C87024" w:rsidP="00AF16D6">
      <w:pPr>
        <w:pStyle w:val="BodyText"/>
      </w:pPr>
      <w:r>
        <w:t>ECP</w:t>
      </w:r>
      <w:r>
        <w:tab/>
      </w:r>
      <w:r w:rsidR="00654125">
        <w:tab/>
      </w:r>
      <w:r>
        <w:t>Emergency contraceptive pills</w:t>
      </w:r>
    </w:p>
    <w:p w14:paraId="2F9F5F00" w14:textId="14611710" w:rsidR="00654125" w:rsidRDefault="00654125" w:rsidP="00AF16D6">
      <w:pPr>
        <w:pStyle w:val="BodyText"/>
      </w:pPr>
      <w:r>
        <w:t>IUD</w:t>
      </w:r>
      <w:r>
        <w:tab/>
      </w:r>
      <w:r>
        <w:tab/>
        <w:t>Intrauterine device</w:t>
      </w:r>
    </w:p>
    <w:p w14:paraId="100C611D" w14:textId="6BBE825F" w:rsidR="00654125" w:rsidRDefault="00654125" w:rsidP="00AF16D6">
      <w:pPr>
        <w:pStyle w:val="BodyText"/>
      </w:pPr>
      <w:r>
        <w:t>LARC</w:t>
      </w:r>
      <w:r>
        <w:tab/>
      </w:r>
      <w:r>
        <w:tab/>
        <w:t>Long-acting reversible contraception</w:t>
      </w:r>
    </w:p>
    <w:p w14:paraId="45F64E68" w14:textId="069C743F" w:rsidR="00654125" w:rsidRDefault="00654125" w:rsidP="00AF16D6">
      <w:pPr>
        <w:pStyle w:val="BodyText"/>
      </w:pPr>
      <w:r>
        <w:t>LGA</w:t>
      </w:r>
      <w:r>
        <w:tab/>
      </w:r>
      <w:r>
        <w:tab/>
        <w:t>Local government area</w:t>
      </w:r>
    </w:p>
    <w:p w14:paraId="152AC074" w14:textId="77777777" w:rsidR="00654125" w:rsidRDefault="00654125" w:rsidP="00CA3630">
      <w:pPr>
        <w:pStyle w:val="BodyText"/>
        <w:ind w:left="1440" w:hanging="1440"/>
      </w:pPr>
      <w:r>
        <w:t>LGBTQIA+</w:t>
      </w:r>
      <w:r>
        <w:tab/>
        <w:t>Lesbian, Gay, Bisexual, Transgender, Queer, Intersex, Asexual and other people of diverse genders and sexualities</w:t>
      </w:r>
    </w:p>
    <w:p w14:paraId="7F399C8F" w14:textId="1DF585BC" w:rsidR="00C87024" w:rsidRDefault="00C87024" w:rsidP="00AF16D6">
      <w:pPr>
        <w:pStyle w:val="BodyText"/>
      </w:pPr>
      <w:r>
        <w:t>MTOP</w:t>
      </w:r>
      <w:r>
        <w:tab/>
      </w:r>
      <w:r>
        <w:tab/>
        <w:t>Medical termination of pregnancy</w:t>
      </w:r>
    </w:p>
    <w:p w14:paraId="2425DF5C" w14:textId="647E837F" w:rsidR="00654125" w:rsidRDefault="00654125" w:rsidP="00AF16D6">
      <w:pPr>
        <w:pStyle w:val="BodyText"/>
      </w:pPr>
      <w:r>
        <w:t>NMR</w:t>
      </w:r>
      <w:r>
        <w:tab/>
      </w:r>
      <w:r>
        <w:tab/>
        <w:t>Northern metropolitan region</w:t>
      </w:r>
      <w:r w:rsidR="00C87024">
        <w:t xml:space="preserve"> of Melbourne</w:t>
      </w:r>
    </w:p>
    <w:p w14:paraId="1CE2B1B8" w14:textId="10860245" w:rsidR="00654125" w:rsidRDefault="00654125" w:rsidP="00AF16D6">
      <w:pPr>
        <w:pStyle w:val="BodyText"/>
      </w:pPr>
      <w:r>
        <w:t>STI</w:t>
      </w:r>
      <w:r>
        <w:tab/>
      </w:r>
      <w:r>
        <w:tab/>
        <w:t xml:space="preserve">Sexually transmissible infection </w:t>
      </w:r>
    </w:p>
    <w:p w14:paraId="3FC8920C" w14:textId="0011B868" w:rsidR="00654125" w:rsidRDefault="00654125" w:rsidP="00AF16D6">
      <w:pPr>
        <w:pStyle w:val="BodyText"/>
      </w:pPr>
      <w:r>
        <w:t>WHIN</w:t>
      </w:r>
      <w:r>
        <w:tab/>
      </w:r>
      <w:r>
        <w:tab/>
        <w:t>Women’s Health In the North</w:t>
      </w:r>
    </w:p>
    <w:p w14:paraId="0695016A" w14:textId="77777777" w:rsidR="00654125" w:rsidRDefault="00654125" w:rsidP="00AF16D6">
      <w:pPr>
        <w:pStyle w:val="BodyText"/>
      </w:pPr>
    </w:p>
    <w:p w14:paraId="0BA197D0" w14:textId="77777777" w:rsidR="00654125" w:rsidRDefault="00654125">
      <w:pPr>
        <w:rPr>
          <w:rFonts w:ascii="Poppins" w:eastAsia="Poppins Light" w:hAnsi="Poppins" w:cs="Poppins"/>
          <w:bCs/>
          <w:noProof/>
          <w:color w:val="000000" w:themeColor="text1"/>
          <w:szCs w:val="20"/>
          <w:lang w:val="en-NZ"/>
        </w:rPr>
      </w:pPr>
      <w:r>
        <w:br w:type="page"/>
      </w:r>
    </w:p>
    <w:p w14:paraId="011D78A2" w14:textId="3F9B51AD" w:rsidR="002D466E" w:rsidRPr="009D0FBE" w:rsidRDefault="00C87024" w:rsidP="00CA3630">
      <w:pPr>
        <w:pStyle w:val="Heading2"/>
      </w:pPr>
      <w:bookmarkStart w:id="3" w:name="_Toc117239954"/>
      <w:r>
        <w:lastRenderedPageBreak/>
        <w:t>Executive Summary</w:t>
      </w:r>
      <w:bookmarkEnd w:id="3"/>
    </w:p>
    <w:p w14:paraId="45DDF34C" w14:textId="77777777" w:rsidR="00C87024" w:rsidRDefault="00C87024" w:rsidP="00AF16D6">
      <w:pPr>
        <w:pStyle w:val="BodyText"/>
      </w:pPr>
      <w:r>
        <w:rPr>
          <w:rStyle w:val="jsgrdq"/>
        </w:rPr>
        <w:t xml:space="preserve">Access to sexual and reproductive health services in primary care has been consistently highlighted as a priority in improving sexual and reproductive outcomes for women and gender diverse people in Victoria. Despite this, few studies have explored the accessibility of sexual and reproductive health care in a pharmacy setting. The scope of this project was to map the availability of sexual and reproductive health pharmaceuticals in the northern metropolitan region (NMR) of Melbourne, identifying gaps in service provision and reasons for those gaps. </w:t>
      </w:r>
    </w:p>
    <w:p w14:paraId="6ECB85DF" w14:textId="6237DA04" w:rsidR="00C87024" w:rsidRDefault="00C87024" w:rsidP="00AF16D6">
      <w:pPr>
        <w:pStyle w:val="BodyText"/>
        <w:rPr>
          <w:rStyle w:val="jsgrdq"/>
        </w:rPr>
      </w:pPr>
      <w:r>
        <w:rPr>
          <w:rStyle w:val="jsgrdq"/>
        </w:rPr>
        <w:t xml:space="preserve">The aims were: </w:t>
      </w:r>
    </w:p>
    <w:p w14:paraId="1B77418D" w14:textId="41B70ADE" w:rsidR="00C87024" w:rsidRDefault="00C87024" w:rsidP="00AF16D6">
      <w:pPr>
        <w:pStyle w:val="BodyText"/>
        <w:numPr>
          <w:ilvl w:val="0"/>
          <w:numId w:val="40"/>
        </w:numPr>
      </w:pPr>
      <w:r>
        <w:rPr>
          <w:rStyle w:val="jsgrdq"/>
        </w:rPr>
        <w:t xml:space="preserve">To identify which areas in the NMR of Melbourne are under-serviced for sexual and reproductive health pharmaceuticals </w:t>
      </w:r>
    </w:p>
    <w:p w14:paraId="13B3B255" w14:textId="0A9A3199" w:rsidR="00C87024" w:rsidRPr="00C87024" w:rsidRDefault="00C87024" w:rsidP="00AF16D6">
      <w:pPr>
        <w:pStyle w:val="BodyText"/>
        <w:numPr>
          <w:ilvl w:val="0"/>
          <w:numId w:val="40"/>
        </w:numPr>
      </w:pPr>
      <w:r>
        <w:rPr>
          <w:rStyle w:val="jsgrdq"/>
        </w:rPr>
        <w:t>To create a baseline for future work and discussion about accessibility to sexual and reproductive health pharmaceuticals in the NMR of Melbourne.</w:t>
      </w:r>
    </w:p>
    <w:p w14:paraId="10DB9EFF" w14:textId="77777777" w:rsidR="00C87024" w:rsidRDefault="00C87024" w:rsidP="00AF16D6">
      <w:pPr>
        <w:pStyle w:val="BodyText"/>
      </w:pPr>
      <w:r>
        <w:rPr>
          <w:rStyle w:val="jsgrdq"/>
        </w:rPr>
        <w:t>The findings of this project will be used to inform further work in the NMR to improve access to contraception, abortion, and products for the prevention of sexually transmissible infections (STIs).</w:t>
      </w:r>
    </w:p>
    <w:p w14:paraId="546F4E2A" w14:textId="586D82E3" w:rsidR="00C87024" w:rsidRDefault="00C87024" w:rsidP="00AF16D6">
      <w:pPr>
        <w:pStyle w:val="BodyText"/>
        <w:rPr>
          <w:rStyle w:val="jsgrdq"/>
        </w:rPr>
      </w:pPr>
      <w:r>
        <w:rPr>
          <w:rStyle w:val="jsgrdq"/>
        </w:rPr>
        <w:t xml:space="preserve">Sexual and reproductive health pharmaceuticals cover a broad range of products. Within this survey, the questions pertained to the supply of dental dams, emergency contraceptive pills (ECP), the contraceptive implant, intrauterine devices (IUDs), the contraceptive injection, contraceptive pills, and medical termination of pregnancy (MTOP) medication. </w:t>
      </w:r>
    </w:p>
    <w:p w14:paraId="5D8FC651" w14:textId="77777777" w:rsidR="00C87024" w:rsidRDefault="00C87024" w:rsidP="00AF16D6">
      <w:pPr>
        <w:pStyle w:val="BodyText"/>
      </w:pPr>
      <w:r>
        <w:rPr>
          <w:rStyle w:val="jsgrdq"/>
        </w:rPr>
        <w:t>198 pharmacies were contacted with 71 responding (35.8% response rate). Long-acting reversible contraception (LARC) such as IUDs, contraceptive implants, and contraceptive injections were available from most pharmacies (68% stocked IUDs; 82% stocked contraceptive implants; 75% stocked contraceptive injections). Almost all respondents stated that their pharmacy stocked ECP (99%). However, of those who stocked ECP, 67% stated that they had restrictions on purchasing the product (n=48). Only 14% of respondents said their pharmacy stocked MTOP medication. Reasons for not supplying MTOP medication included a lack of perceived demand, a lack of staff training, and conscientious objection. One pharmacy reported that they stocked dental dams. Of the pharmacies who responded to the survey, the large majority had a private space to discuss pharmaceutical options (83%).</w:t>
      </w:r>
    </w:p>
    <w:p w14:paraId="6FB8009E" w14:textId="77777777" w:rsidR="00C87024" w:rsidRDefault="00C87024" w:rsidP="00AF16D6">
      <w:pPr>
        <w:pStyle w:val="BodyText"/>
      </w:pPr>
      <w:r>
        <w:rPr>
          <w:rStyle w:val="jsgrdq"/>
        </w:rPr>
        <w:t xml:space="preserve">The results of this survey provide quantitative data about service provision gaps across the NMR in relation to sexual and reproductive health pharmaceuticals. There is a need for future work to expand on this project to generate a larger and more representative sample of pharmacies. In addition, future work ought to explore other factors in accessing sexual and reproductive pharmaceuticals such as cost, and distance needed to travel. </w:t>
      </w:r>
    </w:p>
    <w:p w14:paraId="00FC9C85" w14:textId="77777777" w:rsidR="00C87024" w:rsidRDefault="00C87024" w:rsidP="00AF16D6">
      <w:pPr>
        <w:pStyle w:val="BodyText"/>
      </w:pPr>
      <w:r>
        <w:rPr>
          <w:rStyle w:val="jsgrdq"/>
        </w:rPr>
        <w:lastRenderedPageBreak/>
        <w:t xml:space="preserve">The reproductive rights of women and gender diverse people in the NMR are not only impacted by the limited number of clinics providing sexual and reproductive health services, but also by the lack of availability of sexual and reproductive health pharmaceuticals across the region. </w:t>
      </w:r>
    </w:p>
    <w:p w14:paraId="7C43232A" w14:textId="77777777" w:rsidR="00C87024" w:rsidRDefault="00C87024" w:rsidP="00C87024">
      <w:pPr>
        <w:pStyle w:val="04xlpa"/>
        <w:spacing w:line="585" w:lineRule="atLeast"/>
        <w:rPr>
          <w:color w:val="000000"/>
        </w:rPr>
      </w:pPr>
    </w:p>
    <w:p w14:paraId="05176CB3" w14:textId="77777777" w:rsidR="00654125" w:rsidRDefault="00654125" w:rsidP="00CA3630">
      <w:pPr>
        <w:pStyle w:val="Heading2"/>
      </w:pPr>
    </w:p>
    <w:p w14:paraId="203FC69A" w14:textId="1B213A5E" w:rsidR="00285181" w:rsidRPr="009D0FBE" w:rsidRDefault="00285181" w:rsidP="00CA3630">
      <w:pPr>
        <w:pStyle w:val="Heading2"/>
      </w:pPr>
      <w:bookmarkStart w:id="4" w:name="_Toc117239955"/>
      <w:r w:rsidRPr="009D0FBE">
        <w:t xml:space="preserve">About </w:t>
      </w:r>
      <w:r w:rsidR="006C4EAA" w:rsidRPr="009D0FBE">
        <w:t>Women’s Health In the North</w:t>
      </w:r>
      <w:bookmarkEnd w:id="4"/>
      <w:r w:rsidR="006C4EAA" w:rsidRPr="009D0FBE">
        <w:t xml:space="preserve"> </w:t>
      </w:r>
    </w:p>
    <w:p w14:paraId="2CA83ADA" w14:textId="74279908" w:rsidR="00764221" w:rsidRPr="009D0FBE" w:rsidRDefault="00764221" w:rsidP="00AF16D6">
      <w:pPr>
        <w:pStyle w:val="BodyText"/>
      </w:pPr>
      <w:r w:rsidRPr="009D0FBE">
        <w:t xml:space="preserve">As the regional women’s health promotion and advocacy organisation for the northern metropolitan region of Melbourne (NMR), </w:t>
      </w:r>
      <w:r w:rsidR="00904FB5" w:rsidRPr="009D0FBE">
        <w:t>Women’s Health In the North (</w:t>
      </w:r>
      <w:r w:rsidRPr="009D0FBE">
        <w:t>WHIN</w:t>
      </w:r>
      <w:r w:rsidR="00904FB5" w:rsidRPr="009D0FBE">
        <w:t>)</w:t>
      </w:r>
      <w:r w:rsidRPr="009D0FBE">
        <w:t xml:space="preserve"> seeks to eliminate gender inequalities and improve the health, safety and wellbeing of women and gender diverse people.  </w:t>
      </w:r>
    </w:p>
    <w:p w14:paraId="4CE67E02" w14:textId="77777777" w:rsidR="00764221" w:rsidRPr="009D0FBE" w:rsidRDefault="00764221" w:rsidP="00AF16D6">
      <w:pPr>
        <w:pStyle w:val="BodyText"/>
      </w:pPr>
      <w:r w:rsidRPr="009D0FBE">
        <w:t xml:space="preserve">WHIN’s vision is that women and gender diverse people in the north have voice, choice and power in all aspects of their health, safety and wellbeing. </w:t>
      </w:r>
    </w:p>
    <w:p w14:paraId="417CF123" w14:textId="4201EB0E" w:rsidR="00764221" w:rsidRPr="009D0FBE" w:rsidRDefault="00764221" w:rsidP="00AF16D6">
      <w:pPr>
        <w:pStyle w:val="BodyText"/>
      </w:pPr>
      <w:r w:rsidRPr="009D0FBE">
        <w:t xml:space="preserve">The principles that form the basis of WHIN’s work include: human rights and social justice, feminism, collaborative leadership, intersectionality, inclusivity, and environment and place. </w:t>
      </w:r>
    </w:p>
    <w:p w14:paraId="3C3BB80E" w14:textId="3CD35DE5" w:rsidR="00654125" w:rsidRPr="009D0FBE" w:rsidRDefault="00315E26" w:rsidP="00AF16D6">
      <w:pPr>
        <w:pStyle w:val="BodyText"/>
      </w:pPr>
      <w:r w:rsidRPr="009D0FBE">
        <w:t>WHIN has p</w:t>
      </w:r>
      <w:r w:rsidR="00042826" w:rsidRPr="009D0FBE">
        <w:t>rioritised sexual and reproductive health since its establishment in 1992 and acknowledges that sexual and reproductive health is a broad and holistic area of health that has a defining impact on</w:t>
      </w:r>
      <w:r w:rsidR="007C4234" w:rsidRPr="009D0FBE">
        <w:t xml:space="preserve"> women and gender diverse people throughout their lives. </w:t>
      </w:r>
    </w:p>
    <w:p w14:paraId="019C194E" w14:textId="77777777" w:rsidR="00AF16D6" w:rsidRDefault="00AF16D6" w:rsidP="00CA3630">
      <w:pPr>
        <w:pStyle w:val="Heading2"/>
      </w:pPr>
    </w:p>
    <w:p w14:paraId="6A76246B" w14:textId="5722BD99" w:rsidR="00285181" w:rsidRPr="00654125" w:rsidRDefault="00C87024" w:rsidP="00CA3630">
      <w:pPr>
        <w:pStyle w:val="Heading2"/>
      </w:pPr>
      <w:bookmarkStart w:id="5" w:name="_Toc117239956"/>
      <w:r w:rsidRPr="006804CA">
        <w:t>Background</w:t>
      </w:r>
      <w:bookmarkEnd w:id="5"/>
    </w:p>
    <w:p w14:paraId="1F934A43" w14:textId="74E75275" w:rsidR="001C0D00" w:rsidRPr="009D0FBE" w:rsidRDefault="006C4EAA" w:rsidP="00B16EC1">
      <w:pPr>
        <w:pStyle w:val="Heading3"/>
      </w:pPr>
      <w:r w:rsidRPr="009D0FBE">
        <w:t>A</w:t>
      </w:r>
      <w:r w:rsidR="00285181" w:rsidRPr="009D0FBE">
        <w:t xml:space="preserve">bout the </w:t>
      </w:r>
      <w:r w:rsidRPr="009D0FBE">
        <w:t>NMR</w:t>
      </w:r>
    </w:p>
    <w:p w14:paraId="62667CEE" w14:textId="77777777" w:rsidR="00C87024" w:rsidRDefault="00C87024" w:rsidP="00AF16D6">
      <w:pPr>
        <w:pStyle w:val="BodyText"/>
      </w:pPr>
      <w:r w:rsidRPr="00C87024">
        <w:t>The NMR includes the local government areas (LGAs) of Banyule, Darebin, Hume, Merri-bek, Nillumbik, Whittlesea and Yarra.</w:t>
      </w:r>
      <w:r>
        <w:rPr>
          <w:rStyle w:val="jsgrdq"/>
          <w:b/>
          <w:bCs w:val="0"/>
        </w:rPr>
        <w:t xml:space="preserve"> </w:t>
      </w:r>
      <w:r>
        <w:rPr>
          <w:rStyle w:val="jsgrdq"/>
        </w:rPr>
        <w:t xml:space="preserve">These LGAs include a vast range of median incomes and population densities. The median weekly income of Hume is $529 with a population density of 5.3 persons per square kilometre, in stark contrast to Yarra where median weekly income is $1039 and the population density is 5038.8 persons per square kilometre (WHIN, 2021a; Australian Bureau of Statistics, 2020). </w:t>
      </w:r>
    </w:p>
    <w:p w14:paraId="10D3A4FC" w14:textId="31125871" w:rsidR="00C87024" w:rsidRDefault="00C87024" w:rsidP="00AF16D6">
      <w:pPr>
        <w:pStyle w:val="BodyText"/>
        <w:rPr>
          <w:rStyle w:val="jsgrdq"/>
        </w:rPr>
      </w:pPr>
      <w:r>
        <w:rPr>
          <w:rStyle w:val="jsgrdq"/>
        </w:rPr>
        <w:t xml:space="preserve">The percentage of the female population aged between 15-50 across each LGA in the NMR ranges from 43.6% in the comparatively older population of Nillumbik to 63.1% in the comparatively younger population of Yarra (Australian Bureau of Statistics, 2020). These demographic characteristics across the NMR are important to note as potential factors that influence the accessibility of sexual and reproductive health services. </w:t>
      </w:r>
    </w:p>
    <w:p w14:paraId="398B0313" w14:textId="77777777" w:rsidR="00AF16D6" w:rsidRDefault="00AF16D6" w:rsidP="00B16EC1">
      <w:pPr>
        <w:pStyle w:val="Heading3"/>
      </w:pPr>
    </w:p>
    <w:p w14:paraId="4F635E2E" w14:textId="77777777" w:rsidR="00AF16D6" w:rsidRDefault="00AF16D6">
      <w:pPr>
        <w:rPr>
          <w:rFonts w:ascii="Poppins" w:eastAsia="Poppins Light" w:hAnsi="Poppins" w:cs="Poppins"/>
          <w:b/>
          <w:noProof/>
          <w:color w:val="000000" w:themeColor="text1"/>
          <w:sz w:val="26"/>
          <w:szCs w:val="26"/>
          <w:lang w:val="en-NZ"/>
        </w:rPr>
      </w:pPr>
      <w:r>
        <w:br w:type="page"/>
      </w:r>
    </w:p>
    <w:p w14:paraId="7B345B21" w14:textId="2501C15A" w:rsidR="00C87024" w:rsidRDefault="00C87024" w:rsidP="00B16EC1">
      <w:pPr>
        <w:pStyle w:val="Heading3"/>
      </w:pPr>
      <w:r>
        <w:lastRenderedPageBreak/>
        <w:t>Context</w:t>
      </w:r>
    </w:p>
    <w:p w14:paraId="70354E16" w14:textId="77777777" w:rsidR="00C87024" w:rsidRDefault="00C87024" w:rsidP="00AF16D6">
      <w:pPr>
        <w:pStyle w:val="BodyText"/>
      </w:pPr>
      <w:r>
        <w:rPr>
          <w:rStyle w:val="jsgrdq"/>
        </w:rPr>
        <w:t xml:space="preserve">The Victorian Department of Health and Human Services highlighted the importance of access to sexual and reproductive health services through the inclusion of ‘access to contemporary, safe, and equitable fertility control services’ as an action area in Women’s Sexual and Reproductive Health: Key Priorities 2017-2020 (2017). In particular, the strategy prioritised increasing women’s knowledge of contraception and access to long-acting reversible contraceptives (LARCs) and medical termination of pregnancy (MTOP) in primary care (Victorian Department of Health, 2017). In a 2019 review of Victorian Sexual Health and Service Needs, the Victorian Department of Health outlined ‘availability, accessibility and quality of health services’ as one of four indirect drivers that increase the risk of sexually transmissible infections (STIs). These drivers need to be addressed in order to actualise the Victorian Department of Health’s vision of high quality and inclusive sexual and reproductive health care (2019). </w:t>
      </w:r>
    </w:p>
    <w:p w14:paraId="4801A6B1" w14:textId="77777777" w:rsidR="00C87024" w:rsidRDefault="00C87024" w:rsidP="00AF16D6">
      <w:pPr>
        <w:pStyle w:val="BodyText"/>
      </w:pPr>
      <w:r>
        <w:rPr>
          <w:rStyle w:val="jsgrdq"/>
        </w:rPr>
        <w:t>Despite the emphasis on sexual and reproductive health accessibility by the State Government, many Victorians still have difficulty accessing services. The COVID-19 pandemic has changed people’s family planning needs and desires, making access to the appropriate pharmaceuticals even more pressing (Marie Stopes Australia, 2021). Recent reports have indicated that contraceptive and STI prevention products have been less accessible, highlighting shortages of contraception and emergency contraception, condoms, gloves and dental dams (Marie Stopes Australia, 2021). Surveys over the lockdown period in Australia found that even though people were having slightly less sex compared to pre-pandemic levels, sexual and reproductive health service access is increasingly important as rates of casual sex have increased following lockdowns (Coombe et al., 2021). In the NMR, the LGAs Yarra, Merri-bek, and Darebin are reported to have persistently higher rates of STIs compared to the state average rate (Victoria Department of Health, 2019).</w:t>
      </w:r>
    </w:p>
    <w:p w14:paraId="62226B0D" w14:textId="77777777" w:rsidR="00C87024" w:rsidRDefault="00C87024" w:rsidP="00AF16D6">
      <w:pPr>
        <w:pStyle w:val="BodyText"/>
      </w:pPr>
      <w:r>
        <w:rPr>
          <w:rStyle w:val="jsgrdq"/>
        </w:rPr>
        <w:t xml:space="preserve">Though the need for sexual and reproductive health care and intervention has been highlighted, few studies have explored the accessibility of sexual and reproductive health care in a pharmacy setting. In 2015, researchers conducted a mystery caller study in Victoria which involved researchers posing as a woman in need of emergency contraceptive pills (ECP) in varying scenarios (Hussainy, Stewart &amp; Pham, 2015). This study highlighted the discrepancies between pharmacies and revealed differing advice based on age and various eligibility criteria, including advanced use and purchase by the intended user (Hussainy, Stewart &amp; Pham, 2015). </w:t>
      </w:r>
    </w:p>
    <w:p w14:paraId="564CF13D" w14:textId="7E2C5593" w:rsidR="00C87024" w:rsidRDefault="00C87024" w:rsidP="00AF16D6">
      <w:pPr>
        <w:pStyle w:val="BodyText"/>
      </w:pPr>
      <w:r>
        <w:rPr>
          <w:rStyle w:val="jsgrdq"/>
        </w:rPr>
        <w:lastRenderedPageBreak/>
        <w:t xml:space="preserve">Further inconsistencies between pharmacies arise since suppliers are given power in choosing what to stock in their stores. The Pharmaceutical Society of Australia notes in their practice guidelines that pharmacists have the right to decline to supply medicines if they believe it is ‘unsafe or inappropriate, even if the prescriber is not in agreement’ (Pharmaceutical Society of Australia, 2019). This right also extends to allow pharmacists to act as conscientious objectors, meaning they are able to decline to provide pharmaceuticals to patients based on moral grounds. Conscientious objection is a controversial subject most often discussed in the literature in relation to the rights of medical practitioners to uphold their ‘moral integrity’ (Magelssen, 2012). Persons seeking sexual and reproductive health pharmaceuticals may face pharmacists who are conscientious objectors, denying sale of certain products, particularly MTOP medication. This may be especially harmful for persons in regional areas who do not have easy access to alternate pharmacists. </w:t>
      </w:r>
    </w:p>
    <w:p w14:paraId="27D7AD56" w14:textId="61F4C979" w:rsidR="00C87024" w:rsidRDefault="00C87024" w:rsidP="00AF16D6">
      <w:pPr>
        <w:pStyle w:val="BodyText"/>
        <w:rPr>
          <w:rStyle w:val="jsgrdq"/>
        </w:rPr>
      </w:pPr>
      <w:r>
        <w:rPr>
          <w:rStyle w:val="jsgrdq"/>
        </w:rPr>
        <w:t xml:space="preserve">A literature review of pharmacy provision of sexual and reproductive health commodities found that there has been very little documentation multi-nationally around pharmacy distribution of sexual and reproductive health products for adolescents (Gosalves and Hindin, 2017). Despite the lack of clear provisions and guidelines amongst pharmacists, the literature reveals that young people prefer to attend pharmacies for sexual and reproductive health supplies due to ease and anonymity (Gonsalves and Hindin, 2017). However, the ease in acquiring these products may be at the cost of appropriate care. A national survey on attitudes and perceptions of pharmacists on emergency contraception found that only 54% believed that it was the pharmacist’s role to counsel on STIs (Hussainy et al., 2011). The lack of clear pharmacy provisions and mixed messaging within the pharmacy system in relation to sexual and reproductive health pharmaceuticals may act as a deterrent for people accessing services, especially for those who are already reluctant to seek care. </w:t>
      </w:r>
    </w:p>
    <w:p w14:paraId="06E215B4" w14:textId="02B5B676" w:rsidR="006804CA" w:rsidRDefault="006804CA" w:rsidP="00AF16D6">
      <w:pPr>
        <w:pStyle w:val="BodyText"/>
        <w:rPr>
          <w:rStyle w:val="jsgrdq"/>
        </w:rPr>
      </w:pPr>
      <w:r>
        <w:rPr>
          <w:rStyle w:val="jsgrdq"/>
        </w:rPr>
        <w:t>There are certain population groups who may have additional difficulties in accessing sexual and reproductive health pharmaceuticals and care. LGBTQIA+ persons can find accessing sexual and reproductive health services more daunting unless explicitly made welcome by care providers (Sturgiss et al., 2022). Persons from migrant communities may also experience additional barriers to receiving sexual and reproductive health care due to limited English literacy, despite migrant women expressing they would like increased access to sexual and reproductive health information (Hawkey, Usher &amp; Perz, 2021). Women and gender diverse people in regional areas also have reduced access to sexual and reproductive health pharmaceuticals via pharmacies based on pharmacy trading hours (Downing et al., 2011). These additional barriers, combined with an inconsistent application of pharmacy guidelines across pharmacies reveal the difficulties in accessing sexual and reproductive health pharmaceuticals from primary providers.</w:t>
      </w:r>
    </w:p>
    <w:p w14:paraId="102586DD" w14:textId="0AB39665" w:rsidR="006804CA" w:rsidRDefault="006804CA" w:rsidP="00AF16D6">
      <w:pPr>
        <w:pStyle w:val="BodyText"/>
        <w:rPr>
          <w:rStyle w:val="jsgrdq"/>
        </w:rPr>
      </w:pPr>
    </w:p>
    <w:p w14:paraId="269D5D76" w14:textId="28536CF4" w:rsidR="006804CA" w:rsidRPr="006804CA" w:rsidRDefault="006804CA" w:rsidP="00CA3630">
      <w:pPr>
        <w:pStyle w:val="Heading2"/>
      </w:pPr>
      <w:bookmarkStart w:id="6" w:name="_Toc117239957"/>
      <w:r w:rsidRPr="006804CA">
        <w:rPr>
          <w:rStyle w:val="jsgrdq"/>
        </w:rPr>
        <w:lastRenderedPageBreak/>
        <w:t>Aims</w:t>
      </w:r>
      <w:bookmarkEnd w:id="6"/>
    </w:p>
    <w:p w14:paraId="75A7AD37" w14:textId="77777777" w:rsidR="006804CA" w:rsidRDefault="006804CA" w:rsidP="00AF16D6">
      <w:pPr>
        <w:pStyle w:val="BodyText"/>
      </w:pPr>
      <w:r>
        <w:rPr>
          <w:rStyle w:val="jsgrdq"/>
        </w:rPr>
        <w:t xml:space="preserve">This project intended to map the availability of sexual and reproductive health pharmaceuticals in the northern metropolitan region of Melbourne, identifying gaps in service provision and reasons for those gaps. </w:t>
      </w:r>
    </w:p>
    <w:p w14:paraId="3CAD01AE" w14:textId="18FAFAE8" w:rsidR="006804CA" w:rsidRDefault="006804CA" w:rsidP="00AF16D6">
      <w:pPr>
        <w:pStyle w:val="BodyText"/>
        <w:rPr>
          <w:rStyle w:val="jsgrdq"/>
        </w:rPr>
      </w:pPr>
      <w:r>
        <w:rPr>
          <w:rStyle w:val="jsgrdq"/>
        </w:rPr>
        <w:t>The aims were:</w:t>
      </w:r>
    </w:p>
    <w:p w14:paraId="157B9D3D" w14:textId="77777777" w:rsidR="006804CA" w:rsidRDefault="006804CA" w:rsidP="00AF16D6">
      <w:pPr>
        <w:pStyle w:val="BodyText"/>
        <w:numPr>
          <w:ilvl w:val="0"/>
          <w:numId w:val="47"/>
        </w:numPr>
      </w:pPr>
      <w:r>
        <w:rPr>
          <w:rStyle w:val="jsgrdq"/>
        </w:rPr>
        <w:t xml:space="preserve">To identify which areas in the NMR of Melbourne are under-serviced for sexual and reproductive health pharmaceuticals </w:t>
      </w:r>
    </w:p>
    <w:p w14:paraId="6F785DAF" w14:textId="6A93755F" w:rsidR="006804CA" w:rsidRDefault="006804CA" w:rsidP="00AF16D6">
      <w:pPr>
        <w:pStyle w:val="BodyText"/>
        <w:numPr>
          <w:ilvl w:val="0"/>
          <w:numId w:val="47"/>
        </w:numPr>
      </w:pPr>
      <w:r>
        <w:rPr>
          <w:rStyle w:val="jsgrdq"/>
        </w:rPr>
        <w:t>To create a baseline for future work and discussion about accessibility to sexual and reproductive health pharmaceuticals in the NMR of Melbourne.</w:t>
      </w:r>
    </w:p>
    <w:p w14:paraId="3DB896D0" w14:textId="77777777" w:rsidR="006804CA" w:rsidRDefault="006804CA" w:rsidP="00AF16D6">
      <w:pPr>
        <w:pStyle w:val="BodyText"/>
      </w:pPr>
      <w:r>
        <w:rPr>
          <w:rStyle w:val="jsgrdq"/>
        </w:rPr>
        <w:t xml:space="preserve">This report hopes to fill current gaps in the literature around sexual and reproductive health pharmaceutical provision in the pharmacy setting. Whilst previous reports have highlighted the inconsistencies in accessing certain sexual and reproductive health pharmaceuticals such as emergency contraceptive pills, this project seeks to reveal restrictions across a broader range of sexual and reproductive health products including LARCs, dental dams and MTOP medication (Hussainy, Stewart &amp; Pham, 2015). </w:t>
      </w:r>
    </w:p>
    <w:p w14:paraId="59F9BD28" w14:textId="51CCED4D" w:rsidR="006804CA" w:rsidRDefault="006804CA" w:rsidP="00AF16D6">
      <w:pPr>
        <w:pStyle w:val="BodyText"/>
      </w:pPr>
      <w:r>
        <w:rPr>
          <w:rStyle w:val="jsgrdq"/>
        </w:rPr>
        <w:t xml:space="preserve">The aims were achieved through a quantitative report collating the survey responses provided by pharmacies across the NMR. In addition to noting whether pharmacies across the NMR stock certain sexual and reproductive health pharmaceuticals, the survey yields data on restrictions around accessing each sexual and reproductive health pharmaceutical and reasons why pharmacies do not stock each product. These additional questions were intended to create a foundational dataset that can be used in future discussions and research exploring the barriers and enablers to accessing sexual and reproductive health care. </w:t>
      </w:r>
    </w:p>
    <w:p w14:paraId="3853EBD5" w14:textId="77777777" w:rsidR="006804CA" w:rsidRDefault="006804CA">
      <w:pPr>
        <w:rPr>
          <w:rFonts w:ascii="Poppins" w:eastAsiaTheme="majorEastAsia" w:hAnsi="Poppins" w:cs="Poppins"/>
          <w:b/>
          <w:bCs/>
          <w:noProof/>
          <w:color w:val="5F5F5F" w:themeColor="text2"/>
          <w:sz w:val="32"/>
          <w:szCs w:val="28"/>
        </w:rPr>
      </w:pPr>
      <w:r>
        <w:rPr>
          <w:rFonts w:ascii="Poppins" w:eastAsiaTheme="majorEastAsia" w:hAnsi="Poppins" w:cs="Poppins"/>
          <w:b/>
          <w:bCs/>
          <w:noProof/>
          <w:color w:val="5F5F5F" w:themeColor="text2"/>
          <w:sz w:val="32"/>
          <w:szCs w:val="28"/>
        </w:rPr>
        <w:br w:type="page"/>
      </w:r>
    </w:p>
    <w:p w14:paraId="50091FFA" w14:textId="09B3230A" w:rsidR="00C87024" w:rsidRDefault="006804CA">
      <w:pPr>
        <w:rPr>
          <w:rFonts w:ascii="Poppins" w:eastAsiaTheme="majorEastAsia" w:hAnsi="Poppins" w:cs="Poppins"/>
          <w:b/>
          <w:bCs/>
          <w:noProof/>
          <w:color w:val="5F5F5F" w:themeColor="text2"/>
          <w:sz w:val="32"/>
          <w:szCs w:val="28"/>
        </w:rPr>
      </w:pPr>
      <w:r>
        <w:rPr>
          <w:rFonts w:ascii="Poppins" w:eastAsiaTheme="majorEastAsia" w:hAnsi="Poppins" w:cs="Poppins"/>
          <w:b/>
          <w:bCs/>
          <w:noProof/>
          <w:color w:val="5F5F5F" w:themeColor="text2"/>
          <w:sz w:val="32"/>
          <w:szCs w:val="28"/>
        </w:rPr>
        <w:lastRenderedPageBreak/>
        <w:t>Method</w:t>
      </w:r>
    </w:p>
    <w:p w14:paraId="2DB3D83F" w14:textId="0B49C950" w:rsidR="006804CA" w:rsidRPr="006804CA" w:rsidRDefault="006804CA" w:rsidP="00AF16D6">
      <w:pPr>
        <w:pStyle w:val="BodyText"/>
        <w:rPr>
          <w:rFonts w:ascii="Segoe UI" w:hAnsi="Segoe UI" w:cs="Segoe UI"/>
          <w:sz w:val="21"/>
          <w:szCs w:val="21"/>
        </w:rPr>
      </w:pPr>
      <w:r w:rsidRPr="006804CA">
        <w:rPr>
          <w:rStyle w:val="normaltextrun"/>
        </w:rPr>
        <w:t>A quantitative survey was developed using the Survey Monkey platform. The survey format and content w</w:t>
      </w:r>
      <w:r w:rsidRPr="006804CA">
        <w:rPr>
          <w:rStyle w:val="normaltextrun"/>
          <w:szCs w:val="28"/>
        </w:rPr>
        <w:t>ere</w:t>
      </w:r>
      <w:r w:rsidRPr="006804CA">
        <w:rPr>
          <w:rStyle w:val="normaltextrun"/>
        </w:rPr>
        <w:t xml:space="preserve"> modelled from a similar survey conducted by Gippsland Women’s Health (2018). The survey consisted of 31 questions. Not all 31 questions needed to be answered depending on the respondent’s previous answers. The results from the Gippsland survey informed which answers were included in the multiple-choice answers. </w:t>
      </w:r>
      <w:r w:rsidRPr="006804CA">
        <w:rPr>
          <w:rStyle w:val="eop"/>
        </w:rPr>
        <w:t> </w:t>
      </w:r>
    </w:p>
    <w:p w14:paraId="677BB310" w14:textId="77777777" w:rsidR="006804CA" w:rsidRPr="006804CA" w:rsidRDefault="006804CA" w:rsidP="00AF16D6">
      <w:pPr>
        <w:pStyle w:val="BodyText"/>
        <w:rPr>
          <w:rFonts w:ascii="Segoe UI" w:hAnsi="Segoe UI" w:cs="Segoe UI"/>
          <w:sz w:val="21"/>
          <w:szCs w:val="21"/>
        </w:rPr>
      </w:pPr>
      <w:r w:rsidRPr="006804CA">
        <w:rPr>
          <w:rStyle w:val="normaltextrun"/>
        </w:rPr>
        <w:t>All pharmacies located within the NMR were eligible to participate in the project. Any pharmacies outside of the NMR were excluded from the study as they are outside the scope of WHIN’s catchment. A database of NMR pharmacies was developed resulting in 198 pharmacies being contacted to participate in the survey. The initial contact was made by telephone to all pharmacies. Results were collected either over the phone or via a link to the online survey. Pharmacies that did not provide a response were followed up by email. </w:t>
      </w:r>
      <w:r w:rsidRPr="006804CA">
        <w:rPr>
          <w:rStyle w:val="eop"/>
        </w:rPr>
        <w:t> </w:t>
      </w:r>
    </w:p>
    <w:p w14:paraId="0F916646" w14:textId="10F663E9" w:rsidR="006804CA" w:rsidRPr="006804CA" w:rsidRDefault="006804CA" w:rsidP="00AF16D6">
      <w:pPr>
        <w:pStyle w:val="BodyText"/>
        <w:rPr>
          <w:rStyle w:val="eop"/>
          <w:szCs w:val="28"/>
        </w:rPr>
      </w:pPr>
      <w:r w:rsidRPr="006804CA">
        <w:rPr>
          <w:rStyle w:val="normaltextrun"/>
        </w:rPr>
        <w:t>In order to aid in recruitment and increase legitimacy, WHIN sought approval from the Victorian branch of the Pharmacy Guild of Australia. The Guild approved the research (approval no. 897) and advertised the research via a brief flyer and survey link in their member’s newsletter. </w:t>
      </w:r>
      <w:r w:rsidRPr="006804CA">
        <w:rPr>
          <w:rStyle w:val="eop"/>
        </w:rPr>
        <w:t> </w:t>
      </w:r>
    </w:p>
    <w:p w14:paraId="57639EC9" w14:textId="79B97957" w:rsidR="006804CA" w:rsidRPr="00AF16D6" w:rsidRDefault="006804CA" w:rsidP="00AF16D6">
      <w:pPr>
        <w:pStyle w:val="BodyText"/>
        <w:rPr>
          <w:b/>
          <w:bCs w:val="0"/>
        </w:rPr>
      </w:pPr>
      <w:r w:rsidRPr="00AF16D6">
        <w:rPr>
          <w:b/>
          <w:bCs w:val="0"/>
        </w:rPr>
        <w:t>Figure 1. Pharmacy sample.</w:t>
      </w:r>
      <w:r w:rsidR="00402120" w:rsidRPr="00AF16D6">
        <w:rPr>
          <w:b/>
          <w:bCs w:val="0"/>
        </w:rPr>
        <w:softHyphen/>
      </w:r>
      <w:r w:rsidR="00402120" w:rsidRPr="00AF16D6">
        <w:rPr>
          <w:b/>
          <w:bCs w:val="0"/>
        </w:rPr>
        <w:softHyphen/>
      </w:r>
    </w:p>
    <w:p w14:paraId="5A7B4D09" w14:textId="5FF53C29" w:rsidR="006804CA" w:rsidRPr="006804CA" w:rsidRDefault="006804CA" w:rsidP="00AF16D6">
      <w:pPr>
        <w:pStyle w:val="BodyText"/>
      </w:pPr>
      <w:r>
        <w:rPr>
          <w:shd w:val="clear" w:color="auto" w:fill="auto"/>
        </w:rPr>
        <mc:AlternateContent>
          <mc:Choice Requires="wps">
            <w:drawing>
              <wp:anchor distT="0" distB="0" distL="114300" distR="114300" simplePos="0" relativeHeight="251663360" behindDoc="0" locked="0" layoutInCell="1" allowOverlap="1" wp14:anchorId="01804488" wp14:editId="4E4833AB">
                <wp:simplePos x="0" y="0"/>
                <wp:positionH relativeFrom="column">
                  <wp:posOffset>3263900</wp:posOffset>
                </wp:positionH>
                <wp:positionV relativeFrom="paragraph">
                  <wp:posOffset>114300</wp:posOffset>
                </wp:positionV>
                <wp:extent cx="2933700" cy="2235200"/>
                <wp:effectExtent l="12700" t="12700" r="12700" b="12700"/>
                <wp:wrapNone/>
                <wp:docPr id="8" name="Text Box 8"/>
                <wp:cNvGraphicFramePr/>
                <a:graphic xmlns:a="http://schemas.openxmlformats.org/drawingml/2006/main">
                  <a:graphicData uri="http://schemas.microsoft.com/office/word/2010/wordprocessingShape">
                    <wps:wsp>
                      <wps:cNvSpPr txBox="1"/>
                      <wps:spPr>
                        <a:xfrm>
                          <a:off x="0" y="0"/>
                          <a:ext cx="2933700" cy="2235200"/>
                        </a:xfrm>
                        <a:prstGeom prst="rect">
                          <a:avLst/>
                        </a:prstGeom>
                        <a:solidFill>
                          <a:schemeClr val="lt1"/>
                        </a:solidFill>
                        <a:ln w="25400">
                          <a:solidFill>
                            <a:prstClr val="black"/>
                          </a:solidFill>
                        </a:ln>
                      </wps:spPr>
                      <wps:txbx>
                        <w:txbxContent>
                          <w:p w14:paraId="3542543A" w14:textId="66D971FA" w:rsidR="006804CA" w:rsidRDefault="006804CA" w:rsidP="00AF16D6">
                            <w:pPr>
                              <w:pStyle w:val="BodyText"/>
                            </w:pPr>
                            <w:r>
                              <w:t xml:space="preserve">Pharmacies </w:t>
                            </w:r>
                            <w:r w:rsidR="00402120">
                              <w:t xml:space="preserve">not included, </w:t>
                            </w:r>
                          </w:p>
                          <w:p w14:paraId="3EF67EC7" w14:textId="06784C0D" w:rsidR="00402120" w:rsidRDefault="00402120" w:rsidP="00AF16D6">
                            <w:pPr>
                              <w:pStyle w:val="BodyText"/>
                            </w:pPr>
                            <w:r>
                              <w:t>n = 127</w:t>
                            </w:r>
                          </w:p>
                          <w:p w14:paraId="500A3589" w14:textId="14D34B00" w:rsidR="00402120" w:rsidRDefault="00402120" w:rsidP="00AF16D6">
                            <w:pPr>
                              <w:pStyle w:val="BodyText"/>
                              <w:numPr>
                                <w:ilvl w:val="0"/>
                                <w:numId w:val="41"/>
                              </w:numPr>
                            </w:pPr>
                            <w:r>
                              <w:t>Declined to participate, n = 8</w:t>
                            </w:r>
                          </w:p>
                          <w:p w14:paraId="08F10DE7" w14:textId="367EC9F7" w:rsidR="00402120" w:rsidRDefault="00402120" w:rsidP="00AF16D6">
                            <w:pPr>
                              <w:pStyle w:val="BodyText"/>
                              <w:numPr>
                                <w:ilvl w:val="0"/>
                                <w:numId w:val="41"/>
                              </w:numPr>
                            </w:pPr>
                            <w:r>
                              <w:t>Unable to be contacted by phone, n = 40</w:t>
                            </w:r>
                          </w:p>
                          <w:p w14:paraId="3A1D918D" w14:textId="1F7F6354" w:rsidR="00402120" w:rsidRDefault="00402120" w:rsidP="00AF16D6">
                            <w:pPr>
                              <w:pStyle w:val="BodyText"/>
                              <w:numPr>
                                <w:ilvl w:val="0"/>
                                <w:numId w:val="41"/>
                              </w:numPr>
                            </w:pPr>
                            <w:r>
                              <w:t>Unable to answer on phone and did not complete online survey from email link, n = 76</w:t>
                            </w:r>
                          </w:p>
                          <w:p w14:paraId="7512604F" w14:textId="77777777" w:rsidR="00402120" w:rsidRDefault="00402120" w:rsidP="00AF16D6">
                            <w:pPr>
                              <w:pStyle w:val="BodyText"/>
                              <w:numPr>
                                <w:ilvl w:val="0"/>
                                <w:numId w:val="41"/>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04488" id="_x0000_t202" coordsize="21600,21600" o:spt="202" path="m,l,21600r21600,l21600,xe">
                <v:stroke joinstyle="miter"/>
                <v:path gradientshapeok="t" o:connecttype="rect"/>
              </v:shapetype>
              <v:shape id="Text Box 8" o:spid="_x0000_s1026" type="#_x0000_t202" style="position:absolute;margin-left:257pt;margin-top:9pt;width:231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" fillcolor="white [3201]" strokeweight="2pt">
                <v:textbox>
                  <w:txbxContent>
                    <w:p w14:paraId="3542543A" w14:textId="66D971FA" w:rsidR="006804CA" w:rsidRDefault="006804CA" w:rsidP="00AF16D6">
                      <w:pPr>
                        <w:pStyle w:val="BodyText"/>
                      </w:pPr>
                      <w:r>
                        <w:t xml:space="preserve">Pharmacies </w:t>
                      </w:r>
                      <w:r w:rsidR="00402120">
                        <w:t xml:space="preserve">not included, </w:t>
                      </w:r>
                    </w:p>
                    <w:p w14:paraId="3EF67EC7" w14:textId="06784C0D" w:rsidR="00402120" w:rsidRDefault="00402120" w:rsidP="00AF16D6">
                      <w:pPr>
                        <w:pStyle w:val="BodyText"/>
                      </w:pPr>
                      <w:r>
                        <w:t>n = 127</w:t>
                      </w:r>
                    </w:p>
                    <w:p w14:paraId="500A3589" w14:textId="14D34B00" w:rsidR="00402120" w:rsidRDefault="00402120" w:rsidP="00AF16D6">
                      <w:pPr>
                        <w:pStyle w:val="BodyText"/>
                        <w:numPr>
                          <w:ilvl w:val="0"/>
                          <w:numId w:val="41"/>
                        </w:numPr>
                      </w:pPr>
                      <w:r>
                        <w:t>Declined to participate, n = 8</w:t>
                      </w:r>
                    </w:p>
                    <w:p w14:paraId="08F10DE7" w14:textId="367EC9F7" w:rsidR="00402120" w:rsidRDefault="00402120" w:rsidP="00AF16D6">
                      <w:pPr>
                        <w:pStyle w:val="BodyText"/>
                        <w:numPr>
                          <w:ilvl w:val="0"/>
                          <w:numId w:val="41"/>
                        </w:numPr>
                      </w:pPr>
                      <w:r>
                        <w:t>Unable to be contacted by phone, n = 40</w:t>
                      </w:r>
                    </w:p>
                    <w:p w14:paraId="3A1D918D" w14:textId="1F7F6354" w:rsidR="00402120" w:rsidRDefault="00402120" w:rsidP="00AF16D6">
                      <w:pPr>
                        <w:pStyle w:val="BodyText"/>
                        <w:numPr>
                          <w:ilvl w:val="0"/>
                          <w:numId w:val="41"/>
                        </w:numPr>
                      </w:pPr>
                      <w:r>
                        <w:t>Unable to answer on phone and did not complete online survey from email link, n = 76</w:t>
                      </w:r>
                    </w:p>
                    <w:p w14:paraId="7512604F" w14:textId="77777777" w:rsidR="00402120" w:rsidRDefault="00402120" w:rsidP="00AF16D6">
                      <w:pPr>
                        <w:pStyle w:val="BodyText"/>
                        <w:numPr>
                          <w:ilvl w:val="0"/>
                          <w:numId w:val="41"/>
                        </w:numPr>
                      </w:pPr>
                    </w:p>
                  </w:txbxContent>
                </v:textbox>
              </v:shape>
            </w:pict>
          </mc:Fallback>
        </mc:AlternateContent>
      </w:r>
      <w:r>
        <w:rPr>
          <w:shd w:val="clear" w:color="auto" w:fill="auto"/>
        </w:rPr>
        <mc:AlternateContent>
          <mc:Choice Requires="wps">
            <w:drawing>
              <wp:anchor distT="0" distB="0" distL="114300" distR="114300" simplePos="0" relativeHeight="251659264" behindDoc="0" locked="0" layoutInCell="1" allowOverlap="1" wp14:anchorId="29C26874" wp14:editId="42F318CA">
                <wp:simplePos x="0" y="0"/>
                <wp:positionH relativeFrom="column">
                  <wp:posOffset>38100</wp:posOffset>
                </wp:positionH>
                <wp:positionV relativeFrom="paragraph">
                  <wp:posOffset>107950</wp:posOffset>
                </wp:positionV>
                <wp:extent cx="2273300" cy="977900"/>
                <wp:effectExtent l="12700" t="12700" r="12700" b="12700"/>
                <wp:wrapNone/>
                <wp:docPr id="5" name="Text Box 5"/>
                <wp:cNvGraphicFramePr/>
                <a:graphic xmlns:a="http://schemas.openxmlformats.org/drawingml/2006/main">
                  <a:graphicData uri="http://schemas.microsoft.com/office/word/2010/wordprocessingShape">
                    <wps:wsp>
                      <wps:cNvSpPr txBox="1"/>
                      <wps:spPr>
                        <a:xfrm>
                          <a:off x="0" y="0"/>
                          <a:ext cx="2273300" cy="977900"/>
                        </a:xfrm>
                        <a:prstGeom prst="rect">
                          <a:avLst/>
                        </a:prstGeom>
                        <a:solidFill>
                          <a:schemeClr val="lt1"/>
                        </a:solidFill>
                        <a:ln w="25400">
                          <a:solidFill>
                            <a:prstClr val="black"/>
                          </a:solidFill>
                        </a:ln>
                      </wps:spPr>
                      <wps:txbx>
                        <w:txbxContent>
                          <w:p w14:paraId="14D0F1F5" w14:textId="116A36D0" w:rsidR="006804CA" w:rsidRDefault="006804CA" w:rsidP="00AF16D6">
                            <w:pPr>
                              <w:pStyle w:val="BodyText"/>
                            </w:pPr>
                            <w:r>
                              <w:t>Pharmacies approached to complete the survey,</w:t>
                            </w:r>
                          </w:p>
                          <w:p w14:paraId="1FF1D751" w14:textId="1A88D11E" w:rsidR="006804CA" w:rsidRDefault="006804CA" w:rsidP="00AF16D6">
                            <w:pPr>
                              <w:pStyle w:val="BodyText"/>
                            </w:pPr>
                            <w:r>
                              <w:t>n = 198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C26874" id="Text Box 5" o:spid="_x0000_s1027" type="#_x0000_t202" style="position:absolute;margin-left:3pt;margin-top:8.5pt;width:179pt;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" fillcolor="white [3201]" strokeweight="2pt">
                <v:textbox>
                  <w:txbxContent>
                    <w:p w14:paraId="14D0F1F5" w14:textId="116A36D0" w:rsidR="006804CA" w:rsidRDefault="006804CA" w:rsidP="00AF16D6">
                      <w:pPr>
                        <w:pStyle w:val="BodyText"/>
                      </w:pPr>
                      <w:r>
                        <w:t>Pharmacies approached to complete the survey,</w:t>
                      </w:r>
                    </w:p>
                    <w:p w14:paraId="1FF1D751" w14:textId="1A88D11E" w:rsidR="006804CA" w:rsidRDefault="006804CA" w:rsidP="00AF16D6">
                      <w:pPr>
                        <w:pStyle w:val="BodyText"/>
                      </w:pPr>
                      <w:r>
                        <w:t>n = 198</w:t>
                      </w:r>
                    </w:p>
                  </w:txbxContent>
                </v:textbox>
              </v:shape>
            </w:pict>
          </mc:Fallback>
        </mc:AlternateContent>
      </w:r>
    </w:p>
    <w:p w14:paraId="018CDA75" w14:textId="5DA1678F" w:rsidR="006804CA" w:rsidRDefault="006804CA" w:rsidP="00AF16D6">
      <w:pPr>
        <w:pStyle w:val="BodyText"/>
      </w:pPr>
    </w:p>
    <w:p w14:paraId="61150F5E" w14:textId="545F2630" w:rsidR="006804CA" w:rsidRDefault="006804CA" w:rsidP="00AF16D6">
      <w:pPr>
        <w:pStyle w:val="BodyText"/>
        <w:rPr>
          <w:rStyle w:val="normaltextrun"/>
          <w:sz w:val="20"/>
        </w:rPr>
      </w:pPr>
    </w:p>
    <w:p w14:paraId="6BEE801D" w14:textId="16649F4F" w:rsidR="006804CA" w:rsidRDefault="00402120" w:rsidP="00AF16D6">
      <w:pPr>
        <w:pStyle w:val="BodyText"/>
        <w:rPr>
          <w:rStyle w:val="normaltextrun"/>
          <w:sz w:val="20"/>
        </w:rPr>
      </w:pPr>
      <w:r>
        <w:rPr>
          <w:shd w:val="clear" w:color="auto" w:fill="auto"/>
        </w:rPr>
        <mc:AlternateContent>
          <mc:Choice Requires="wps">
            <w:drawing>
              <wp:anchor distT="0" distB="0" distL="114300" distR="114300" simplePos="0" relativeHeight="251664384" behindDoc="0" locked="0" layoutInCell="1" allowOverlap="1" wp14:anchorId="73A6AFE0" wp14:editId="61FCAA7F">
                <wp:simplePos x="0" y="0"/>
                <wp:positionH relativeFrom="column">
                  <wp:posOffset>1161107</wp:posOffset>
                </wp:positionH>
                <wp:positionV relativeFrom="paragraph">
                  <wp:posOffset>248593</wp:posOffset>
                </wp:positionV>
                <wp:extent cx="0" cy="280532"/>
                <wp:effectExtent l="63500" t="0" r="50800" b="24765"/>
                <wp:wrapNone/>
                <wp:docPr id="10" name="Straight Arrow Connector 10"/>
                <wp:cNvGraphicFramePr/>
                <a:graphic xmlns:a="http://schemas.openxmlformats.org/drawingml/2006/main">
                  <a:graphicData uri="http://schemas.microsoft.com/office/word/2010/wordprocessingShape">
                    <wps:wsp>
                      <wps:cNvCnPr/>
                      <wps:spPr>
                        <a:xfrm>
                          <a:off x="0" y="0"/>
                          <a:ext cx="0" cy="280532"/>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08DD95" id="_x0000_t32" coordsize="21600,21600" o:spt="32" o:oned="t" path="m,l21600,21600e" filled="f">
                <v:path arrowok="t" fillok="f" o:connecttype="none"/>
                <o:lock v:ext="edit" shapetype="t"/>
              </v:shapetype>
              <v:shape id="Straight Arrow Connector 10" o:spid="_x0000_s1026" type="#_x0000_t32" style="position:absolute;margin-left:91.45pt;margin-top:19.55pt;width:0;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" strokecolor="black [3213]" strokeweight="2pt">
                <v:stroke endarrow="block" joinstyle="miter"/>
              </v:shape>
            </w:pict>
          </mc:Fallback>
        </mc:AlternateContent>
      </w:r>
    </w:p>
    <w:p w14:paraId="76743E4D" w14:textId="480BF733" w:rsidR="006804CA" w:rsidRDefault="00402120" w:rsidP="00AF16D6">
      <w:pPr>
        <w:pStyle w:val="BodyText"/>
        <w:rPr>
          <w:rStyle w:val="normaltextrun"/>
          <w:sz w:val="20"/>
        </w:rPr>
      </w:pPr>
      <w:r>
        <w:rPr>
          <w:shd w:val="clear" w:color="auto" w:fill="auto"/>
        </w:rPr>
        <mc:AlternateContent>
          <mc:Choice Requires="wps">
            <w:drawing>
              <wp:anchor distT="0" distB="0" distL="114300" distR="114300" simplePos="0" relativeHeight="251666432" behindDoc="0" locked="0" layoutInCell="1" allowOverlap="1" wp14:anchorId="1F5B93A9" wp14:editId="0B6913CB">
                <wp:simplePos x="0" y="0"/>
                <wp:positionH relativeFrom="column">
                  <wp:posOffset>1164167</wp:posOffset>
                </wp:positionH>
                <wp:positionV relativeFrom="paragraph">
                  <wp:posOffset>63500</wp:posOffset>
                </wp:positionV>
                <wp:extent cx="2099733" cy="45719"/>
                <wp:effectExtent l="12700" t="38100" r="59690" b="69215"/>
                <wp:wrapNone/>
                <wp:docPr id="11" name="Straight Arrow Connector 11"/>
                <wp:cNvGraphicFramePr/>
                <a:graphic xmlns:a="http://schemas.openxmlformats.org/drawingml/2006/main">
                  <a:graphicData uri="http://schemas.microsoft.com/office/word/2010/wordprocessingShape">
                    <wps:wsp>
                      <wps:cNvCnPr/>
                      <wps:spPr>
                        <a:xfrm>
                          <a:off x="0" y="0"/>
                          <a:ext cx="2099733" cy="45719"/>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7665B6" id="Straight Arrow Connector 11" o:spid="_x0000_s1026" type="#_x0000_t32" style="position:absolute;margin-left:91.65pt;margin-top:5pt;width:165.3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" strokecolor="black [3213]" strokeweight="2pt">
                <v:stroke endarrow="block" joinstyle="miter"/>
              </v:shape>
            </w:pict>
          </mc:Fallback>
        </mc:AlternateContent>
      </w:r>
      <w:r w:rsidR="006804CA">
        <w:rPr>
          <w:shd w:val="clear" w:color="auto" w:fill="auto"/>
        </w:rPr>
        <mc:AlternateContent>
          <mc:Choice Requires="wps">
            <w:drawing>
              <wp:anchor distT="0" distB="0" distL="114300" distR="114300" simplePos="0" relativeHeight="251661312" behindDoc="0" locked="0" layoutInCell="1" allowOverlap="1" wp14:anchorId="46E5DF68" wp14:editId="0E174D87">
                <wp:simplePos x="0" y="0"/>
                <wp:positionH relativeFrom="column">
                  <wp:posOffset>38100</wp:posOffset>
                </wp:positionH>
                <wp:positionV relativeFrom="paragraph">
                  <wp:posOffset>266700</wp:posOffset>
                </wp:positionV>
                <wp:extent cx="2273300" cy="977900"/>
                <wp:effectExtent l="12700" t="12700" r="12700" b="12700"/>
                <wp:wrapNone/>
                <wp:docPr id="7" name="Text Box 7"/>
                <wp:cNvGraphicFramePr/>
                <a:graphic xmlns:a="http://schemas.openxmlformats.org/drawingml/2006/main">
                  <a:graphicData uri="http://schemas.microsoft.com/office/word/2010/wordprocessingShape">
                    <wps:wsp>
                      <wps:cNvSpPr txBox="1"/>
                      <wps:spPr>
                        <a:xfrm>
                          <a:off x="0" y="0"/>
                          <a:ext cx="2273300" cy="977900"/>
                        </a:xfrm>
                        <a:prstGeom prst="rect">
                          <a:avLst/>
                        </a:prstGeom>
                        <a:solidFill>
                          <a:schemeClr val="lt1"/>
                        </a:solidFill>
                        <a:ln w="25400">
                          <a:solidFill>
                            <a:prstClr val="black"/>
                          </a:solidFill>
                        </a:ln>
                      </wps:spPr>
                      <wps:txbx>
                        <w:txbxContent>
                          <w:p w14:paraId="0BE688BC" w14:textId="4817EF0C" w:rsidR="006804CA" w:rsidRDefault="006804CA" w:rsidP="00AF16D6">
                            <w:pPr>
                              <w:pStyle w:val="BodyText"/>
                            </w:pPr>
                            <w:r>
                              <w:t xml:space="preserve">Pharmacies </w:t>
                            </w:r>
                            <w:r>
                              <w:t>completed survey</w:t>
                            </w:r>
                            <w:r>
                              <w:t>,</w:t>
                            </w:r>
                          </w:p>
                          <w:p w14:paraId="261840BB" w14:textId="0533F6F3" w:rsidR="006804CA" w:rsidRDefault="006804CA" w:rsidP="00AF16D6">
                            <w:pPr>
                              <w:pStyle w:val="BodyText"/>
                            </w:pPr>
                            <w:r>
                              <w:t xml:space="preserve">n = </w:t>
                            </w:r>
                            <w:r>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5DF68" id="Text Box 7" o:spid="_x0000_s1028" type="#_x0000_t202" style="position:absolute;margin-left:3pt;margin-top:21pt;width:179pt;height:7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" fillcolor="white [3201]" strokeweight="2pt">
                <v:textbox>
                  <w:txbxContent>
                    <w:p w14:paraId="0BE688BC" w14:textId="4817EF0C" w:rsidR="006804CA" w:rsidRDefault="006804CA" w:rsidP="00AF16D6">
                      <w:pPr>
                        <w:pStyle w:val="BodyText"/>
                      </w:pPr>
                      <w:r>
                        <w:t xml:space="preserve">Pharmacies </w:t>
                      </w:r>
                      <w:r>
                        <w:t>completed survey</w:t>
                      </w:r>
                      <w:r>
                        <w:t>,</w:t>
                      </w:r>
                    </w:p>
                    <w:p w14:paraId="261840BB" w14:textId="0533F6F3" w:rsidR="006804CA" w:rsidRDefault="006804CA" w:rsidP="00AF16D6">
                      <w:pPr>
                        <w:pStyle w:val="BodyText"/>
                      </w:pPr>
                      <w:r>
                        <w:t xml:space="preserve">n = </w:t>
                      </w:r>
                      <w:r>
                        <w:t>71</w:t>
                      </w:r>
                    </w:p>
                  </w:txbxContent>
                </v:textbox>
              </v:shape>
            </w:pict>
          </mc:Fallback>
        </mc:AlternateContent>
      </w:r>
    </w:p>
    <w:p w14:paraId="2D5076FD" w14:textId="37BB02E2" w:rsidR="006804CA" w:rsidRDefault="00402120" w:rsidP="00AF16D6">
      <w:pPr>
        <w:pStyle w:val="BodyText"/>
        <w:rPr>
          <w:rStyle w:val="normaltextrun"/>
          <w:sz w:val="20"/>
        </w:rPr>
      </w:pPr>
      <w:r>
        <w:rPr>
          <w:rStyle w:val="normaltextrun"/>
          <w:sz w:val="20"/>
        </w:rPr>
        <w:softHyphen/>
      </w:r>
    </w:p>
    <w:p w14:paraId="0941C6A9" w14:textId="3B6EFA0B" w:rsidR="006804CA" w:rsidRDefault="006804CA" w:rsidP="00AF16D6">
      <w:pPr>
        <w:pStyle w:val="BodyText"/>
        <w:rPr>
          <w:rStyle w:val="normaltextrun"/>
          <w:sz w:val="20"/>
        </w:rPr>
      </w:pPr>
    </w:p>
    <w:p w14:paraId="2B7B4EC1" w14:textId="77777777" w:rsidR="006804CA" w:rsidRDefault="006804CA" w:rsidP="00AF16D6">
      <w:pPr>
        <w:pStyle w:val="BodyText"/>
        <w:rPr>
          <w:rStyle w:val="normaltextrun"/>
          <w:sz w:val="20"/>
        </w:rPr>
      </w:pPr>
    </w:p>
    <w:p w14:paraId="516ED446" w14:textId="08DB81F7" w:rsidR="006804CA" w:rsidRDefault="006804CA" w:rsidP="00AF16D6">
      <w:pPr>
        <w:pStyle w:val="BodyText"/>
        <w:rPr>
          <w:rStyle w:val="normaltextrun"/>
          <w:sz w:val="20"/>
        </w:rPr>
      </w:pPr>
    </w:p>
    <w:p w14:paraId="68158C90" w14:textId="77777777" w:rsidR="006804CA" w:rsidRDefault="006804CA" w:rsidP="00AF16D6">
      <w:pPr>
        <w:pStyle w:val="BodyText"/>
        <w:rPr>
          <w:rStyle w:val="normaltextrun"/>
          <w:sz w:val="20"/>
        </w:rPr>
      </w:pPr>
    </w:p>
    <w:p w14:paraId="6DB7DC55" w14:textId="37B5B85F" w:rsidR="006804CA" w:rsidRPr="006804CA" w:rsidRDefault="006804CA" w:rsidP="00AF16D6">
      <w:pPr>
        <w:pStyle w:val="BodyText"/>
        <w:rPr>
          <w:rStyle w:val="eop"/>
        </w:rPr>
      </w:pPr>
      <w:r w:rsidRPr="006804CA">
        <w:rPr>
          <w:rStyle w:val="normaltextrun"/>
        </w:rPr>
        <w:t>Figure 1 summarises the final sample included in the study (n=71). Of those who declined to complete the survey on the phone, a majority reasoned they were too busy to answer the questions (n=76). These respondents did not respond to the subsequent email sent to their pharmacy contacting the survey link.  </w:t>
      </w:r>
      <w:r w:rsidRPr="006804CA">
        <w:rPr>
          <w:rStyle w:val="eop"/>
        </w:rPr>
        <w:t> </w:t>
      </w:r>
    </w:p>
    <w:p w14:paraId="424797FA" w14:textId="77777777" w:rsidR="00402120" w:rsidRDefault="00402120">
      <w:pPr>
        <w:rPr>
          <w:rFonts w:ascii="Poppins" w:eastAsiaTheme="majorEastAsia" w:hAnsi="Poppins" w:cs="Poppins"/>
          <w:b/>
          <w:bCs/>
          <w:noProof/>
          <w:color w:val="5F5F5F" w:themeColor="text2"/>
          <w:sz w:val="32"/>
          <w:szCs w:val="28"/>
        </w:rPr>
      </w:pPr>
      <w:r>
        <w:br w:type="page"/>
      </w:r>
    </w:p>
    <w:p w14:paraId="082B6C84" w14:textId="4529D4F2" w:rsidR="006804CA" w:rsidRPr="00AF16D6" w:rsidRDefault="00402120" w:rsidP="00CA3630">
      <w:pPr>
        <w:pStyle w:val="Heading2"/>
      </w:pPr>
      <w:bookmarkStart w:id="7" w:name="_Toc117239958"/>
      <w:r w:rsidRPr="00AF16D6">
        <w:lastRenderedPageBreak/>
        <w:t>Findings</w:t>
      </w:r>
      <w:bookmarkEnd w:id="7"/>
    </w:p>
    <w:p w14:paraId="58C9FA86" w14:textId="30B79436" w:rsidR="00402120" w:rsidRDefault="00402120" w:rsidP="00B16EC1">
      <w:pPr>
        <w:pStyle w:val="Heading3"/>
      </w:pPr>
      <w:r>
        <w:t>Results for the NMR</w:t>
      </w:r>
    </w:p>
    <w:p w14:paraId="0DBDAA85" w14:textId="3B76087F" w:rsidR="00402120" w:rsidRPr="00402120" w:rsidRDefault="00402120" w:rsidP="00AF16D6">
      <w:pPr>
        <w:pStyle w:val="Heading4"/>
      </w:pPr>
      <w:r>
        <w:t>Participation</w:t>
      </w:r>
    </w:p>
    <w:p w14:paraId="7F2964A7" w14:textId="574164BE" w:rsidR="00402120" w:rsidRPr="0071768F" w:rsidRDefault="00402120" w:rsidP="00AF16D6">
      <w:pPr>
        <w:pStyle w:val="BodyText"/>
        <w:rPr>
          <w:rStyle w:val="eop"/>
        </w:rPr>
      </w:pPr>
      <w:r w:rsidRPr="0071768F">
        <w:rPr>
          <w:rStyle w:val="normaltextrun"/>
        </w:rPr>
        <w:t>The response rate of pharmacies from the total sample (n=198) was 35.8% (n=71). Figure 3 outlines the response rate per LGA in the NMR. Response rates ranged from 52% in Darebin to 20% in Merri-bek. The data from three pharmacies were missing due to a technical error with Survey Monkey where the responses were either deleted or not saved. 2 of these pharmacies were located in Moreland and 1 was located in Banyule. Of the pharmacies who declined to answer the survey over the phone (n= 76) the majority stated that they were too busy with some explaining that they were held up with conducting vaccinations or were short staffed due to illnesses. A minority of those who would not complete the survey over the phone declined as the person best equipped to respond was unavailable (n=9). </w:t>
      </w:r>
      <w:r w:rsidRPr="0071768F">
        <w:rPr>
          <w:rStyle w:val="eop"/>
        </w:rPr>
        <w:t> </w:t>
      </w:r>
    </w:p>
    <w:p w14:paraId="02C2B9AC" w14:textId="616D0FD5" w:rsidR="0000496A" w:rsidRPr="00AF16D6" w:rsidRDefault="0000496A" w:rsidP="00AF16D6">
      <w:pPr>
        <w:pStyle w:val="BodyText"/>
        <w:rPr>
          <w:b/>
          <w:bCs w:val="0"/>
        </w:rPr>
      </w:pPr>
      <w:r w:rsidRPr="00AF16D6">
        <w:rPr>
          <w:b/>
          <w:bCs w:val="0"/>
        </w:rPr>
        <w:t>Table 1. Pharmacy survey response rates in the NMR</w:t>
      </w:r>
    </w:p>
    <w:tbl>
      <w:tblPr>
        <w:tblStyle w:val="TableGrid"/>
        <w:tblW w:w="0" w:type="auto"/>
        <w:tblLook w:val="04A0" w:firstRow="1" w:lastRow="0" w:firstColumn="1" w:lastColumn="0" w:noHBand="0" w:noVBand="1"/>
      </w:tblPr>
      <w:tblGrid>
        <w:gridCol w:w="1946"/>
        <w:gridCol w:w="1946"/>
        <w:gridCol w:w="1946"/>
        <w:gridCol w:w="1946"/>
        <w:gridCol w:w="1946"/>
      </w:tblGrid>
      <w:tr w:rsidR="0000496A" w:rsidRPr="0000496A" w14:paraId="0D5C1C2F" w14:textId="77777777" w:rsidTr="00402120">
        <w:tc>
          <w:tcPr>
            <w:tcW w:w="1946" w:type="dxa"/>
          </w:tcPr>
          <w:p w14:paraId="0D78BF8C" w14:textId="4D6E6C42" w:rsidR="00402120" w:rsidRPr="00AF16D6" w:rsidRDefault="00402120" w:rsidP="00AF16D6">
            <w:pPr>
              <w:pStyle w:val="BodyText"/>
              <w:rPr>
                <w:b/>
                <w:bCs w:val="0"/>
              </w:rPr>
            </w:pPr>
            <w:r w:rsidRPr="00AF16D6">
              <w:rPr>
                <w:b/>
                <w:bCs w:val="0"/>
              </w:rPr>
              <w:t>LGA</w:t>
            </w:r>
          </w:p>
        </w:tc>
        <w:tc>
          <w:tcPr>
            <w:tcW w:w="1946" w:type="dxa"/>
          </w:tcPr>
          <w:p w14:paraId="6C5906D8" w14:textId="746FADC5" w:rsidR="00402120" w:rsidRPr="00AF16D6" w:rsidRDefault="0000496A" w:rsidP="00AF16D6">
            <w:pPr>
              <w:pStyle w:val="BodyText"/>
              <w:rPr>
                <w:b/>
                <w:bCs w:val="0"/>
              </w:rPr>
            </w:pPr>
            <w:r w:rsidRPr="00AF16D6">
              <w:rPr>
                <w:b/>
                <w:bCs w:val="0"/>
              </w:rPr>
              <w:t>Responded</w:t>
            </w:r>
          </w:p>
        </w:tc>
        <w:tc>
          <w:tcPr>
            <w:tcW w:w="1946" w:type="dxa"/>
          </w:tcPr>
          <w:p w14:paraId="2E687405" w14:textId="68D479EF" w:rsidR="00402120" w:rsidRPr="00AF16D6" w:rsidRDefault="0000496A" w:rsidP="00AF16D6">
            <w:pPr>
              <w:pStyle w:val="BodyText"/>
              <w:rPr>
                <w:b/>
                <w:bCs w:val="0"/>
              </w:rPr>
            </w:pPr>
            <w:r w:rsidRPr="00AF16D6">
              <w:rPr>
                <w:b/>
                <w:bCs w:val="0"/>
              </w:rPr>
              <w:t>Emailed</w:t>
            </w:r>
          </w:p>
        </w:tc>
        <w:tc>
          <w:tcPr>
            <w:tcW w:w="1946" w:type="dxa"/>
          </w:tcPr>
          <w:p w14:paraId="7837BEDA" w14:textId="1A184F72" w:rsidR="00402120" w:rsidRPr="00AF16D6" w:rsidRDefault="0000496A" w:rsidP="00AF16D6">
            <w:pPr>
              <w:pStyle w:val="BodyText"/>
              <w:rPr>
                <w:b/>
                <w:bCs w:val="0"/>
              </w:rPr>
            </w:pPr>
            <w:r w:rsidRPr="00AF16D6">
              <w:rPr>
                <w:b/>
                <w:bCs w:val="0"/>
              </w:rPr>
              <w:t>Declined</w:t>
            </w:r>
          </w:p>
        </w:tc>
        <w:tc>
          <w:tcPr>
            <w:tcW w:w="1946" w:type="dxa"/>
          </w:tcPr>
          <w:p w14:paraId="0DA1A5A3" w14:textId="0E030668" w:rsidR="00402120" w:rsidRPr="00AF16D6" w:rsidRDefault="0000496A" w:rsidP="00AF16D6">
            <w:pPr>
              <w:pStyle w:val="BodyText"/>
              <w:rPr>
                <w:b/>
                <w:bCs w:val="0"/>
              </w:rPr>
            </w:pPr>
            <w:r w:rsidRPr="00AF16D6">
              <w:rPr>
                <w:b/>
                <w:bCs w:val="0"/>
              </w:rPr>
              <w:t>Unable to be contacted</w:t>
            </w:r>
          </w:p>
        </w:tc>
      </w:tr>
      <w:tr w:rsidR="0000496A" w14:paraId="547EA827" w14:textId="77777777" w:rsidTr="00402120">
        <w:tc>
          <w:tcPr>
            <w:tcW w:w="1946" w:type="dxa"/>
          </w:tcPr>
          <w:p w14:paraId="21B1F2DF" w14:textId="757F793E" w:rsidR="00402120" w:rsidRPr="00AF16D6" w:rsidRDefault="0000496A" w:rsidP="00AF16D6">
            <w:pPr>
              <w:pStyle w:val="BodyText"/>
              <w:rPr>
                <w:b/>
                <w:bCs w:val="0"/>
              </w:rPr>
            </w:pPr>
            <w:r w:rsidRPr="00AF16D6">
              <w:rPr>
                <w:b/>
                <w:bCs w:val="0"/>
              </w:rPr>
              <w:t>Banyule</w:t>
            </w:r>
          </w:p>
        </w:tc>
        <w:tc>
          <w:tcPr>
            <w:tcW w:w="1946" w:type="dxa"/>
          </w:tcPr>
          <w:p w14:paraId="42BF068A" w14:textId="2B64D751" w:rsidR="00402120" w:rsidRDefault="0000496A" w:rsidP="00AF16D6">
            <w:pPr>
              <w:pStyle w:val="BodyText"/>
            </w:pPr>
            <w:r>
              <w:t>11</w:t>
            </w:r>
          </w:p>
        </w:tc>
        <w:tc>
          <w:tcPr>
            <w:tcW w:w="1946" w:type="dxa"/>
          </w:tcPr>
          <w:p w14:paraId="356AB872" w14:textId="141CD759" w:rsidR="00402120" w:rsidRDefault="0000496A" w:rsidP="00AF16D6">
            <w:pPr>
              <w:pStyle w:val="BodyText"/>
            </w:pPr>
            <w:r>
              <w:t>12</w:t>
            </w:r>
          </w:p>
        </w:tc>
        <w:tc>
          <w:tcPr>
            <w:tcW w:w="1946" w:type="dxa"/>
          </w:tcPr>
          <w:p w14:paraId="5A32BEDC" w14:textId="317E26C2" w:rsidR="00402120" w:rsidRDefault="0000496A" w:rsidP="00AF16D6">
            <w:pPr>
              <w:pStyle w:val="BodyText"/>
            </w:pPr>
            <w:r>
              <w:t>1</w:t>
            </w:r>
          </w:p>
        </w:tc>
        <w:tc>
          <w:tcPr>
            <w:tcW w:w="1946" w:type="dxa"/>
          </w:tcPr>
          <w:p w14:paraId="67D0E8C4" w14:textId="4FA1A782" w:rsidR="00402120" w:rsidRDefault="0000496A" w:rsidP="00AF16D6">
            <w:pPr>
              <w:pStyle w:val="BodyText"/>
            </w:pPr>
            <w:r>
              <w:t>3</w:t>
            </w:r>
          </w:p>
        </w:tc>
      </w:tr>
      <w:tr w:rsidR="0000496A" w14:paraId="589D1699" w14:textId="77777777" w:rsidTr="00402120">
        <w:tc>
          <w:tcPr>
            <w:tcW w:w="1946" w:type="dxa"/>
          </w:tcPr>
          <w:p w14:paraId="1A05D12A" w14:textId="4162ECFE" w:rsidR="00402120" w:rsidRPr="00AF16D6" w:rsidRDefault="0000496A" w:rsidP="00AF16D6">
            <w:pPr>
              <w:pStyle w:val="BodyText"/>
              <w:rPr>
                <w:b/>
                <w:bCs w:val="0"/>
              </w:rPr>
            </w:pPr>
            <w:r w:rsidRPr="00AF16D6">
              <w:rPr>
                <w:b/>
                <w:bCs w:val="0"/>
              </w:rPr>
              <w:t>Darebin</w:t>
            </w:r>
          </w:p>
        </w:tc>
        <w:tc>
          <w:tcPr>
            <w:tcW w:w="1946" w:type="dxa"/>
          </w:tcPr>
          <w:p w14:paraId="6C35E86F" w14:textId="3AC2D0EA" w:rsidR="00402120" w:rsidRDefault="0000496A" w:rsidP="00AF16D6">
            <w:pPr>
              <w:pStyle w:val="BodyText"/>
            </w:pPr>
            <w:r>
              <w:t>15</w:t>
            </w:r>
          </w:p>
        </w:tc>
        <w:tc>
          <w:tcPr>
            <w:tcW w:w="1946" w:type="dxa"/>
          </w:tcPr>
          <w:p w14:paraId="6B22E2A8" w14:textId="5ED58449" w:rsidR="00402120" w:rsidRDefault="0000496A" w:rsidP="00AF16D6">
            <w:pPr>
              <w:pStyle w:val="BodyText"/>
            </w:pPr>
            <w:r>
              <w:t>6</w:t>
            </w:r>
          </w:p>
        </w:tc>
        <w:tc>
          <w:tcPr>
            <w:tcW w:w="1946" w:type="dxa"/>
          </w:tcPr>
          <w:p w14:paraId="345E3C72" w14:textId="4040D836" w:rsidR="00402120" w:rsidRDefault="0000496A" w:rsidP="00AF16D6">
            <w:pPr>
              <w:pStyle w:val="BodyText"/>
            </w:pPr>
            <w:r>
              <w:t>1</w:t>
            </w:r>
          </w:p>
        </w:tc>
        <w:tc>
          <w:tcPr>
            <w:tcW w:w="1946" w:type="dxa"/>
          </w:tcPr>
          <w:p w14:paraId="1E41AD2B" w14:textId="12B3547B" w:rsidR="00402120" w:rsidRDefault="0000496A" w:rsidP="00AF16D6">
            <w:pPr>
              <w:pStyle w:val="BodyText"/>
            </w:pPr>
            <w:r>
              <w:t>7</w:t>
            </w:r>
          </w:p>
        </w:tc>
      </w:tr>
      <w:tr w:rsidR="0000496A" w14:paraId="081A9B33" w14:textId="77777777" w:rsidTr="00402120">
        <w:tc>
          <w:tcPr>
            <w:tcW w:w="1946" w:type="dxa"/>
          </w:tcPr>
          <w:p w14:paraId="1D78CC77" w14:textId="1F1781D7" w:rsidR="00402120" w:rsidRPr="00AF16D6" w:rsidRDefault="0000496A" w:rsidP="00AF16D6">
            <w:pPr>
              <w:pStyle w:val="BodyText"/>
              <w:rPr>
                <w:b/>
                <w:bCs w:val="0"/>
              </w:rPr>
            </w:pPr>
            <w:r w:rsidRPr="00AF16D6">
              <w:rPr>
                <w:b/>
                <w:bCs w:val="0"/>
              </w:rPr>
              <w:t>Hume</w:t>
            </w:r>
          </w:p>
        </w:tc>
        <w:tc>
          <w:tcPr>
            <w:tcW w:w="1946" w:type="dxa"/>
          </w:tcPr>
          <w:p w14:paraId="3E48C5C0" w14:textId="53D4E95A" w:rsidR="00402120" w:rsidRDefault="0000496A" w:rsidP="00AF16D6">
            <w:pPr>
              <w:pStyle w:val="BodyText"/>
            </w:pPr>
            <w:r>
              <w:t>15</w:t>
            </w:r>
          </w:p>
        </w:tc>
        <w:tc>
          <w:tcPr>
            <w:tcW w:w="1946" w:type="dxa"/>
          </w:tcPr>
          <w:p w14:paraId="08D72C66" w14:textId="356FEAE6" w:rsidR="00402120" w:rsidRDefault="0000496A" w:rsidP="00AF16D6">
            <w:pPr>
              <w:pStyle w:val="BodyText"/>
            </w:pPr>
            <w:r>
              <w:t>13</w:t>
            </w:r>
          </w:p>
        </w:tc>
        <w:tc>
          <w:tcPr>
            <w:tcW w:w="1946" w:type="dxa"/>
          </w:tcPr>
          <w:p w14:paraId="41CEE9C5" w14:textId="21935485" w:rsidR="00402120" w:rsidRDefault="0000496A" w:rsidP="00AF16D6">
            <w:pPr>
              <w:pStyle w:val="BodyText"/>
            </w:pPr>
            <w:r>
              <w:t>3</w:t>
            </w:r>
          </w:p>
        </w:tc>
        <w:tc>
          <w:tcPr>
            <w:tcW w:w="1946" w:type="dxa"/>
          </w:tcPr>
          <w:p w14:paraId="39EB048E" w14:textId="1E8DCC89" w:rsidR="00402120" w:rsidRDefault="0000496A" w:rsidP="00AF16D6">
            <w:pPr>
              <w:pStyle w:val="BodyText"/>
            </w:pPr>
            <w:r>
              <w:t>10</w:t>
            </w:r>
          </w:p>
        </w:tc>
      </w:tr>
      <w:tr w:rsidR="0000496A" w14:paraId="194B9C31" w14:textId="77777777" w:rsidTr="00402120">
        <w:tc>
          <w:tcPr>
            <w:tcW w:w="1946" w:type="dxa"/>
          </w:tcPr>
          <w:p w14:paraId="7FC09E4F" w14:textId="3392BC56" w:rsidR="00402120" w:rsidRPr="00AF16D6" w:rsidRDefault="0000496A" w:rsidP="00AF16D6">
            <w:pPr>
              <w:pStyle w:val="BodyText"/>
              <w:rPr>
                <w:b/>
                <w:bCs w:val="0"/>
              </w:rPr>
            </w:pPr>
            <w:r w:rsidRPr="00AF16D6">
              <w:rPr>
                <w:b/>
                <w:bCs w:val="0"/>
              </w:rPr>
              <w:t>Merri-bek</w:t>
            </w:r>
          </w:p>
        </w:tc>
        <w:tc>
          <w:tcPr>
            <w:tcW w:w="1946" w:type="dxa"/>
          </w:tcPr>
          <w:p w14:paraId="1B86320A" w14:textId="40EC779D" w:rsidR="00402120" w:rsidRDefault="0000496A" w:rsidP="00AF16D6">
            <w:pPr>
              <w:pStyle w:val="BodyText"/>
            </w:pPr>
            <w:r>
              <w:t>8</w:t>
            </w:r>
          </w:p>
        </w:tc>
        <w:tc>
          <w:tcPr>
            <w:tcW w:w="1946" w:type="dxa"/>
          </w:tcPr>
          <w:p w14:paraId="063A6E7F" w14:textId="35A2411B" w:rsidR="00402120" w:rsidRDefault="0000496A" w:rsidP="00AF16D6">
            <w:pPr>
              <w:pStyle w:val="BodyText"/>
            </w:pPr>
            <w:r>
              <w:t>23</w:t>
            </w:r>
          </w:p>
        </w:tc>
        <w:tc>
          <w:tcPr>
            <w:tcW w:w="1946" w:type="dxa"/>
          </w:tcPr>
          <w:p w14:paraId="0AADAED8" w14:textId="2CA87F6D" w:rsidR="00402120" w:rsidRDefault="0000496A" w:rsidP="00AF16D6">
            <w:pPr>
              <w:pStyle w:val="BodyText"/>
            </w:pPr>
            <w:r>
              <w:t>2</w:t>
            </w:r>
          </w:p>
        </w:tc>
        <w:tc>
          <w:tcPr>
            <w:tcW w:w="1946" w:type="dxa"/>
          </w:tcPr>
          <w:p w14:paraId="44194A7E" w14:textId="572D5189" w:rsidR="00402120" w:rsidRDefault="0000496A" w:rsidP="00AF16D6">
            <w:pPr>
              <w:pStyle w:val="BodyText"/>
            </w:pPr>
            <w:r>
              <w:t>7</w:t>
            </w:r>
          </w:p>
        </w:tc>
      </w:tr>
      <w:tr w:rsidR="0000496A" w14:paraId="5E95037A" w14:textId="77777777" w:rsidTr="00402120">
        <w:tc>
          <w:tcPr>
            <w:tcW w:w="1946" w:type="dxa"/>
          </w:tcPr>
          <w:p w14:paraId="04B3C42B" w14:textId="42BFD678" w:rsidR="00402120" w:rsidRPr="00AF16D6" w:rsidRDefault="0000496A" w:rsidP="00AF16D6">
            <w:pPr>
              <w:pStyle w:val="BodyText"/>
              <w:rPr>
                <w:b/>
                <w:bCs w:val="0"/>
              </w:rPr>
            </w:pPr>
            <w:r w:rsidRPr="00AF16D6">
              <w:rPr>
                <w:b/>
                <w:bCs w:val="0"/>
              </w:rPr>
              <w:t>Nillumbik</w:t>
            </w:r>
          </w:p>
        </w:tc>
        <w:tc>
          <w:tcPr>
            <w:tcW w:w="1946" w:type="dxa"/>
          </w:tcPr>
          <w:p w14:paraId="7F795A38" w14:textId="009DE5EA" w:rsidR="00402120" w:rsidRDefault="0000496A" w:rsidP="00AF16D6">
            <w:pPr>
              <w:pStyle w:val="BodyText"/>
            </w:pPr>
            <w:r>
              <w:t>8</w:t>
            </w:r>
          </w:p>
        </w:tc>
        <w:tc>
          <w:tcPr>
            <w:tcW w:w="1946" w:type="dxa"/>
          </w:tcPr>
          <w:p w14:paraId="6D8703D0" w14:textId="448A0020" w:rsidR="00402120" w:rsidRDefault="0000496A" w:rsidP="00AF16D6">
            <w:pPr>
              <w:pStyle w:val="BodyText"/>
            </w:pPr>
            <w:r>
              <w:t>6</w:t>
            </w:r>
          </w:p>
        </w:tc>
        <w:tc>
          <w:tcPr>
            <w:tcW w:w="1946" w:type="dxa"/>
          </w:tcPr>
          <w:p w14:paraId="6FAA2AEF" w14:textId="7D33955A" w:rsidR="00402120" w:rsidRDefault="0000496A" w:rsidP="00AF16D6">
            <w:pPr>
              <w:pStyle w:val="BodyText"/>
            </w:pPr>
            <w:r>
              <w:t>0</w:t>
            </w:r>
          </w:p>
        </w:tc>
        <w:tc>
          <w:tcPr>
            <w:tcW w:w="1946" w:type="dxa"/>
          </w:tcPr>
          <w:p w14:paraId="6E3E1413" w14:textId="3EF59F2C" w:rsidR="00402120" w:rsidRDefault="0000496A" w:rsidP="00AF16D6">
            <w:pPr>
              <w:pStyle w:val="BodyText"/>
            </w:pPr>
            <w:r>
              <w:t>2</w:t>
            </w:r>
          </w:p>
        </w:tc>
      </w:tr>
      <w:tr w:rsidR="0000496A" w14:paraId="0DC31DB6" w14:textId="77777777" w:rsidTr="00402120">
        <w:tc>
          <w:tcPr>
            <w:tcW w:w="1946" w:type="dxa"/>
          </w:tcPr>
          <w:p w14:paraId="15B352CA" w14:textId="41A45915" w:rsidR="00402120" w:rsidRPr="00AF16D6" w:rsidRDefault="0000496A" w:rsidP="00AF16D6">
            <w:pPr>
              <w:pStyle w:val="BodyText"/>
              <w:rPr>
                <w:b/>
                <w:bCs w:val="0"/>
              </w:rPr>
            </w:pPr>
            <w:r w:rsidRPr="00AF16D6">
              <w:rPr>
                <w:b/>
                <w:bCs w:val="0"/>
              </w:rPr>
              <w:t>Whittlesea</w:t>
            </w:r>
          </w:p>
        </w:tc>
        <w:tc>
          <w:tcPr>
            <w:tcW w:w="1946" w:type="dxa"/>
          </w:tcPr>
          <w:p w14:paraId="1B7BBF57" w14:textId="6FE83006" w:rsidR="00402120" w:rsidRDefault="0000496A" w:rsidP="00AF16D6">
            <w:pPr>
              <w:pStyle w:val="BodyText"/>
            </w:pPr>
            <w:r>
              <w:t>8</w:t>
            </w:r>
          </w:p>
        </w:tc>
        <w:tc>
          <w:tcPr>
            <w:tcW w:w="1946" w:type="dxa"/>
          </w:tcPr>
          <w:p w14:paraId="756829AB" w14:textId="39875C9A" w:rsidR="00402120" w:rsidRDefault="0000496A" w:rsidP="00AF16D6">
            <w:pPr>
              <w:pStyle w:val="BodyText"/>
            </w:pPr>
            <w:r>
              <w:t>5</w:t>
            </w:r>
          </w:p>
        </w:tc>
        <w:tc>
          <w:tcPr>
            <w:tcW w:w="1946" w:type="dxa"/>
          </w:tcPr>
          <w:p w14:paraId="381386BF" w14:textId="18F854B1" w:rsidR="00402120" w:rsidRDefault="0000496A" w:rsidP="00AF16D6">
            <w:pPr>
              <w:pStyle w:val="BodyText"/>
            </w:pPr>
            <w:r>
              <w:t>0</w:t>
            </w:r>
          </w:p>
        </w:tc>
        <w:tc>
          <w:tcPr>
            <w:tcW w:w="1946" w:type="dxa"/>
          </w:tcPr>
          <w:p w14:paraId="60253084" w14:textId="09D5CE7D" w:rsidR="00402120" w:rsidRDefault="0000496A" w:rsidP="00AF16D6">
            <w:pPr>
              <w:pStyle w:val="BodyText"/>
            </w:pPr>
            <w:r>
              <w:t>7</w:t>
            </w:r>
          </w:p>
        </w:tc>
      </w:tr>
      <w:tr w:rsidR="0000496A" w14:paraId="76AF0DA0" w14:textId="77777777" w:rsidTr="00402120">
        <w:tc>
          <w:tcPr>
            <w:tcW w:w="1946" w:type="dxa"/>
          </w:tcPr>
          <w:p w14:paraId="115775DC" w14:textId="31849CDF" w:rsidR="00402120" w:rsidRPr="00AF16D6" w:rsidRDefault="0000496A" w:rsidP="00AF16D6">
            <w:pPr>
              <w:pStyle w:val="BodyText"/>
              <w:rPr>
                <w:b/>
                <w:bCs w:val="0"/>
              </w:rPr>
            </w:pPr>
            <w:r w:rsidRPr="00AF16D6">
              <w:rPr>
                <w:b/>
                <w:bCs w:val="0"/>
              </w:rPr>
              <w:t>Yarra</w:t>
            </w:r>
          </w:p>
        </w:tc>
        <w:tc>
          <w:tcPr>
            <w:tcW w:w="1946" w:type="dxa"/>
          </w:tcPr>
          <w:p w14:paraId="635128E0" w14:textId="6A5F501F" w:rsidR="00402120" w:rsidRDefault="0000496A" w:rsidP="00AF16D6">
            <w:pPr>
              <w:pStyle w:val="BodyText"/>
            </w:pPr>
            <w:r>
              <w:t>9</w:t>
            </w:r>
          </w:p>
        </w:tc>
        <w:tc>
          <w:tcPr>
            <w:tcW w:w="1946" w:type="dxa"/>
          </w:tcPr>
          <w:p w14:paraId="3B99FCCE" w14:textId="221C45B5" w:rsidR="00402120" w:rsidRDefault="0000496A" w:rsidP="00AF16D6">
            <w:pPr>
              <w:pStyle w:val="BodyText"/>
            </w:pPr>
            <w:r>
              <w:t>11</w:t>
            </w:r>
          </w:p>
        </w:tc>
        <w:tc>
          <w:tcPr>
            <w:tcW w:w="1946" w:type="dxa"/>
          </w:tcPr>
          <w:p w14:paraId="1D84461A" w14:textId="31AAEA73" w:rsidR="00402120" w:rsidRDefault="0000496A" w:rsidP="00AF16D6">
            <w:pPr>
              <w:pStyle w:val="BodyText"/>
            </w:pPr>
            <w:r>
              <w:t>1</w:t>
            </w:r>
          </w:p>
        </w:tc>
        <w:tc>
          <w:tcPr>
            <w:tcW w:w="1946" w:type="dxa"/>
          </w:tcPr>
          <w:p w14:paraId="7682100F" w14:textId="04F11260" w:rsidR="00402120" w:rsidRDefault="0000496A" w:rsidP="00AF16D6">
            <w:pPr>
              <w:pStyle w:val="BodyText"/>
            </w:pPr>
            <w:r>
              <w:t>4</w:t>
            </w:r>
          </w:p>
        </w:tc>
      </w:tr>
    </w:tbl>
    <w:p w14:paraId="7EBBE92B" w14:textId="3BDCDE48" w:rsidR="00402120" w:rsidRDefault="00402120">
      <w:pPr>
        <w:rPr>
          <w:rFonts w:ascii="Poppins" w:eastAsiaTheme="majorEastAsia" w:hAnsi="Poppins" w:cs="Poppins"/>
          <w:b/>
          <w:bCs/>
          <w:noProof/>
          <w:color w:val="5F5F5F" w:themeColor="text2"/>
          <w:sz w:val="32"/>
          <w:szCs w:val="28"/>
        </w:rPr>
      </w:pPr>
    </w:p>
    <w:p w14:paraId="660A7FFC" w14:textId="45A39696" w:rsidR="00402120" w:rsidRDefault="0000496A" w:rsidP="00AF16D6">
      <w:pPr>
        <w:pStyle w:val="Heading4"/>
      </w:pPr>
      <w:r>
        <w:lastRenderedPageBreak/>
        <w:t>Privacy within the pharmacy for consultation</w:t>
      </w:r>
    </w:p>
    <w:p w14:paraId="2FD4CF09" w14:textId="25AB407B" w:rsidR="0000496A" w:rsidRPr="0000496A" w:rsidRDefault="0000496A" w:rsidP="00AF16D6">
      <w:pPr>
        <w:pStyle w:val="BodyText"/>
        <w:rPr>
          <w:rStyle w:val="normaltextrun"/>
        </w:rPr>
      </w:pPr>
      <w:r w:rsidRPr="0000496A">
        <w:rPr>
          <w:rStyle w:val="normaltextrun"/>
        </w:rPr>
        <w:t>Of the pharmacies who responded to the survey, the large majority had a private space to discuss pharmaceutical options (83%). </w:t>
      </w:r>
    </w:p>
    <w:p w14:paraId="034F4F9F" w14:textId="77777777" w:rsidR="0000496A" w:rsidRDefault="0000496A" w:rsidP="00AF16D6">
      <w:pPr>
        <w:pStyle w:val="BodyText"/>
        <w:rPr>
          <w:rStyle w:val="normaltextrun"/>
          <w:b/>
          <w:bCs w:val="0"/>
        </w:rPr>
      </w:pPr>
      <w:r>
        <w:rPr>
          <w:rStyle w:val="normaltextrun"/>
          <w:b/>
          <w:bCs w:val="0"/>
        </w:rPr>
        <w:t>Figure</w:t>
      </w:r>
      <w:r w:rsidRPr="0000496A">
        <w:rPr>
          <w:rStyle w:val="normaltextrun"/>
          <w:b/>
          <w:bCs w:val="0"/>
        </w:rPr>
        <w:t xml:space="preserve"> </w:t>
      </w:r>
      <w:r>
        <w:rPr>
          <w:rStyle w:val="normaltextrun"/>
          <w:b/>
          <w:bCs w:val="0"/>
        </w:rPr>
        <w:t xml:space="preserve">2. Number of pharmacies in the NMR who had a private space to discuss pharmacy options. </w:t>
      </w:r>
    </w:p>
    <w:p w14:paraId="5CE293D3" w14:textId="7C286626" w:rsidR="0000496A" w:rsidRDefault="0000496A" w:rsidP="00AF16D6">
      <w:pPr>
        <w:pStyle w:val="BodyText"/>
        <w:rPr>
          <w:rStyle w:val="normaltextrun"/>
          <w:b/>
          <w:bCs w:val="0"/>
        </w:rPr>
      </w:pPr>
      <w:r w:rsidRPr="0000496A">
        <w:drawing>
          <wp:inline distT="0" distB="0" distL="0" distR="0" wp14:anchorId="1AFB851D" wp14:editId="634C2B5C">
            <wp:extent cx="2013995" cy="2222339"/>
            <wp:effectExtent l="0" t="0" r="5715" b="635"/>
            <wp:docPr id="12" name="Chart 12" descr="Pie chart detailing number of pharmacies with private space to discuss pharmacy options. Yes for 59 pharmacies. No for 12 pharmacies.&#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C1F180" w14:textId="77777777" w:rsidR="00AF16D6" w:rsidRDefault="00AF16D6" w:rsidP="00AF16D6">
      <w:pPr>
        <w:pStyle w:val="Heading4"/>
        <w:rPr>
          <w:rStyle w:val="normaltextrun"/>
        </w:rPr>
      </w:pPr>
    </w:p>
    <w:p w14:paraId="34E3B811" w14:textId="4DECF6B9" w:rsidR="0000496A" w:rsidRPr="0000496A" w:rsidRDefault="0000496A" w:rsidP="00AF16D6">
      <w:pPr>
        <w:pStyle w:val="Heading4"/>
        <w:rPr>
          <w:rStyle w:val="normaltextrun"/>
        </w:rPr>
      </w:pPr>
      <w:r w:rsidRPr="0000496A">
        <w:rPr>
          <w:rStyle w:val="normaltextrun"/>
        </w:rPr>
        <w:t>Sexual and Reproductive Health Pharmaceuticals Stocked by NMR Pharmacies</w:t>
      </w:r>
    </w:p>
    <w:p w14:paraId="35D570D9" w14:textId="1C9F3D20" w:rsidR="0000496A" w:rsidRPr="0071768F" w:rsidRDefault="0000496A" w:rsidP="00AF16D6">
      <w:pPr>
        <w:pStyle w:val="BodyText"/>
        <w:rPr>
          <w:rStyle w:val="eop"/>
        </w:rPr>
      </w:pPr>
      <w:r w:rsidRPr="0071768F">
        <w:rPr>
          <w:rStyle w:val="normaltextrun"/>
        </w:rPr>
        <w:t>Table 2</w:t>
      </w:r>
      <w:r w:rsidRPr="0071768F">
        <w:rPr>
          <w:rStyle w:val="normaltextrun"/>
        </w:rPr>
        <w:t xml:space="preserve"> provides an overview of the sexual and reproductive health pharmaceuticals available in the NMR as reported by survey respondents. These data will be explored in further detail by product category. </w:t>
      </w:r>
      <w:r w:rsidRPr="0071768F">
        <w:rPr>
          <w:rStyle w:val="eop"/>
        </w:rPr>
        <w:t> </w:t>
      </w:r>
    </w:p>
    <w:p w14:paraId="23F8C09B" w14:textId="54E11AEB" w:rsidR="0000496A" w:rsidRPr="0071768F" w:rsidRDefault="0071768F" w:rsidP="00AF16D6">
      <w:pPr>
        <w:pStyle w:val="BodyText"/>
        <w:rPr>
          <w:rStyle w:val="normaltextrun"/>
          <w:b/>
          <w:bCs w:val="0"/>
          <w:sz w:val="28"/>
          <w:szCs w:val="28"/>
        </w:rPr>
      </w:pPr>
      <w:r w:rsidRPr="0071768F">
        <w:rPr>
          <w:rStyle w:val="eop"/>
          <w:b/>
          <w:bCs w:val="0"/>
        </w:rPr>
        <w:t>Table 2. Sexual and reproductive health phramaceuticals stocked by pharmacy respondents in the NMR</w:t>
      </w:r>
    </w:p>
    <w:tbl>
      <w:tblPr>
        <w:tblStyle w:val="TableGrid"/>
        <w:tblW w:w="5000" w:type="pct"/>
        <w:tblLook w:val="04A0" w:firstRow="1" w:lastRow="0" w:firstColumn="1" w:lastColumn="0" w:noHBand="0" w:noVBand="1"/>
      </w:tblPr>
      <w:tblGrid>
        <w:gridCol w:w="3243"/>
        <w:gridCol w:w="3243"/>
        <w:gridCol w:w="3244"/>
      </w:tblGrid>
      <w:tr w:rsidR="0000496A" w:rsidRPr="0000496A" w14:paraId="01EBC8A9" w14:textId="77777777" w:rsidTr="0000496A">
        <w:tc>
          <w:tcPr>
            <w:tcW w:w="1666" w:type="pct"/>
          </w:tcPr>
          <w:p w14:paraId="09130358" w14:textId="7CA606CE" w:rsidR="0000496A" w:rsidRPr="00AF16D6" w:rsidRDefault="0000496A" w:rsidP="00AF16D6">
            <w:pPr>
              <w:pStyle w:val="BodyText"/>
              <w:rPr>
                <w:b/>
                <w:bCs w:val="0"/>
              </w:rPr>
            </w:pPr>
            <w:r w:rsidRPr="00AF16D6">
              <w:rPr>
                <w:b/>
                <w:bCs w:val="0"/>
              </w:rPr>
              <w:t>Pharmaceutical</w:t>
            </w:r>
          </w:p>
        </w:tc>
        <w:tc>
          <w:tcPr>
            <w:tcW w:w="1666" w:type="pct"/>
          </w:tcPr>
          <w:p w14:paraId="39740084" w14:textId="442771A3" w:rsidR="0000496A" w:rsidRPr="00AF16D6" w:rsidRDefault="0000496A" w:rsidP="00AF16D6">
            <w:pPr>
              <w:pStyle w:val="BodyText"/>
              <w:rPr>
                <w:b/>
                <w:bCs w:val="0"/>
              </w:rPr>
            </w:pPr>
            <w:r w:rsidRPr="00AF16D6">
              <w:rPr>
                <w:b/>
                <w:bCs w:val="0"/>
              </w:rPr>
              <w:t>Yes</w:t>
            </w:r>
          </w:p>
        </w:tc>
        <w:tc>
          <w:tcPr>
            <w:tcW w:w="1667" w:type="pct"/>
          </w:tcPr>
          <w:p w14:paraId="32448E9D" w14:textId="397E53F4" w:rsidR="0000496A" w:rsidRPr="00AF16D6" w:rsidRDefault="0000496A" w:rsidP="00AF16D6">
            <w:pPr>
              <w:pStyle w:val="BodyText"/>
              <w:rPr>
                <w:b/>
                <w:bCs w:val="0"/>
              </w:rPr>
            </w:pPr>
            <w:r w:rsidRPr="00AF16D6">
              <w:rPr>
                <w:b/>
                <w:bCs w:val="0"/>
              </w:rPr>
              <w:t>No</w:t>
            </w:r>
          </w:p>
        </w:tc>
      </w:tr>
      <w:tr w:rsidR="0000496A" w14:paraId="11629158" w14:textId="77777777" w:rsidTr="0000496A">
        <w:tc>
          <w:tcPr>
            <w:tcW w:w="1666" w:type="pct"/>
          </w:tcPr>
          <w:p w14:paraId="4D7DB3F7" w14:textId="20B26C8B" w:rsidR="0000496A" w:rsidRPr="00AF16D6" w:rsidRDefault="0000496A" w:rsidP="00AF16D6">
            <w:pPr>
              <w:pStyle w:val="BodyText"/>
              <w:rPr>
                <w:b/>
                <w:bCs w:val="0"/>
              </w:rPr>
            </w:pPr>
            <w:r w:rsidRPr="00AF16D6">
              <w:rPr>
                <w:b/>
                <w:bCs w:val="0"/>
              </w:rPr>
              <w:t>Dental dams</w:t>
            </w:r>
          </w:p>
        </w:tc>
        <w:tc>
          <w:tcPr>
            <w:tcW w:w="1666" w:type="pct"/>
          </w:tcPr>
          <w:p w14:paraId="6A6DE9E4" w14:textId="3558B0FB" w:rsidR="0000496A" w:rsidRDefault="0000496A" w:rsidP="00AF16D6">
            <w:pPr>
              <w:pStyle w:val="BodyText"/>
            </w:pPr>
            <w:r>
              <w:t>1</w:t>
            </w:r>
          </w:p>
        </w:tc>
        <w:tc>
          <w:tcPr>
            <w:tcW w:w="1667" w:type="pct"/>
          </w:tcPr>
          <w:p w14:paraId="15B2B489" w14:textId="614BA5D5" w:rsidR="0000496A" w:rsidRDefault="0000496A" w:rsidP="00AF16D6">
            <w:pPr>
              <w:pStyle w:val="BodyText"/>
            </w:pPr>
            <w:r>
              <w:t>70</w:t>
            </w:r>
          </w:p>
        </w:tc>
      </w:tr>
      <w:tr w:rsidR="0000496A" w14:paraId="4830861C" w14:textId="77777777" w:rsidTr="0000496A">
        <w:tc>
          <w:tcPr>
            <w:tcW w:w="1666" w:type="pct"/>
          </w:tcPr>
          <w:p w14:paraId="0D6E9CD0" w14:textId="696FF033" w:rsidR="0000496A" w:rsidRPr="00AF16D6" w:rsidRDefault="0000496A" w:rsidP="00AF16D6">
            <w:pPr>
              <w:pStyle w:val="BodyText"/>
              <w:rPr>
                <w:b/>
                <w:bCs w:val="0"/>
              </w:rPr>
            </w:pPr>
            <w:r w:rsidRPr="00AF16D6">
              <w:rPr>
                <w:b/>
                <w:bCs w:val="0"/>
              </w:rPr>
              <w:t>ECP</w:t>
            </w:r>
          </w:p>
        </w:tc>
        <w:tc>
          <w:tcPr>
            <w:tcW w:w="1666" w:type="pct"/>
          </w:tcPr>
          <w:p w14:paraId="678281BF" w14:textId="00678972" w:rsidR="0000496A" w:rsidRDefault="0000496A" w:rsidP="00AF16D6">
            <w:pPr>
              <w:pStyle w:val="BodyText"/>
            </w:pPr>
            <w:r>
              <w:t>70</w:t>
            </w:r>
          </w:p>
        </w:tc>
        <w:tc>
          <w:tcPr>
            <w:tcW w:w="1667" w:type="pct"/>
          </w:tcPr>
          <w:p w14:paraId="14B86058" w14:textId="5679D405" w:rsidR="0000496A" w:rsidRDefault="0000496A" w:rsidP="00AF16D6">
            <w:pPr>
              <w:pStyle w:val="BodyText"/>
            </w:pPr>
            <w:r>
              <w:t>1</w:t>
            </w:r>
          </w:p>
        </w:tc>
      </w:tr>
      <w:tr w:rsidR="0000496A" w14:paraId="3EEBE137" w14:textId="77777777" w:rsidTr="0000496A">
        <w:tc>
          <w:tcPr>
            <w:tcW w:w="1666" w:type="pct"/>
          </w:tcPr>
          <w:p w14:paraId="0895AB41" w14:textId="095F8322" w:rsidR="0000496A" w:rsidRPr="00AF16D6" w:rsidRDefault="0000496A" w:rsidP="00AF16D6">
            <w:pPr>
              <w:pStyle w:val="BodyText"/>
              <w:rPr>
                <w:b/>
                <w:bCs w:val="0"/>
              </w:rPr>
            </w:pPr>
            <w:r w:rsidRPr="00AF16D6">
              <w:rPr>
                <w:b/>
                <w:bCs w:val="0"/>
              </w:rPr>
              <w:t>Implants</w:t>
            </w:r>
          </w:p>
        </w:tc>
        <w:tc>
          <w:tcPr>
            <w:tcW w:w="1666" w:type="pct"/>
          </w:tcPr>
          <w:p w14:paraId="70D7903C" w14:textId="4CF7C1C3" w:rsidR="0000496A" w:rsidRDefault="0000496A" w:rsidP="00AF16D6">
            <w:pPr>
              <w:pStyle w:val="BodyText"/>
            </w:pPr>
            <w:r>
              <w:t>58</w:t>
            </w:r>
          </w:p>
        </w:tc>
        <w:tc>
          <w:tcPr>
            <w:tcW w:w="1667" w:type="pct"/>
          </w:tcPr>
          <w:p w14:paraId="18C553C5" w14:textId="77777777" w:rsidR="0000496A" w:rsidRDefault="0000496A" w:rsidP="00AF16D6">
            <w:pPr>
              <w:pStyle w:val="BodyText"/>
            </w:pPr>
            <w:r>
              <w:t>13</w:t>
            </w:r>
          </w:p>
        </w:tc>
      </w:tr>
      <w:tr w:rsidR="0000496A" w14:paraId="01778540" w14:textId="77777777" w:rsidTr="0000496A">
        <w:tc>
          <w:tcPr>
            <w:tcW w:w="1666" w:type="pct"/>
          </w:tcPr>
          <w:p w14:paraId="7A2BC41B" w14:textId="108C2BB1" w:rsidR="0000496A" w:rsidRPr="00AF16D6" w:rsidRDefault="0000496A" w:rsidP="00AF16D6">
            <w:pPr>
              <w:pStyle w:val="BodyText"/>
              <w:rPr>
                <w:b/>
                <w:bCs w:val="0"/>
              </w:rPr>
            </w:pPr>
            <w:r w:rsidRPr="00AF16D6">
              <w:rPr>
                <w:b/>
                <w:bCs w:val="0"/>
              </w:rPr>
              <w:t>Injections</w:t>
            </w:r>
          </w:p>
        </w:tc>
        <w:tc>
          <w:tcPr>
            <w:tcW w:w="1666" w:type="pct"/>
          </w:tcPr>
          <w:p w14:paraId="7C0F4ACC" w14:textId="7474F212" w:rsidR="0000496A" w:rsidRDefault="0000496A" w:rsidP="00AF16D6">
            <w:pPr>
              <w:pStyle w:val="BodyText"/>
            </w:pPr>
            <w:r>
              <w:t>53</w:t>
            </w:r>
          </w:p>
        </w:tc>
        <w:tc>
          <w:tcPr>
            <w:tcW w:w="1667" w:type="pct"/>
          </w:tcPr>
          <w:p w14:paraId="71B57236" w14:textId="3CA8F663" w:rsidR="0000496A" w:rsidRDefault="0000496A" w:rsidP="00AF16D6">
            <w:pPr>
              <w:pStyle w:val="BodyText"/>
            </w:pPr>
            <w:r>
              <w:t>17</w:t>
            </w:r>
          </w:p>
        </w:tc>
      </w:tr>
      <w:tr w:rsidR="0000496A" w14:paraId="6C35C42B" w14:textId="77777777" w:rsidTr="0000496A">
        <w:tc>
          <w:tcPr>
            <w:tcW w:w="1666" w:type="pct"/>
          </w:tcPr>
          <w:p w14:paraId="613F9FC5" w14:textId="4BB3983D" w:rsidR="0000496A" w:rsidRPr="00AF16D6" w:rsidRDefault="0000496A" w:rsidP="00AF16D6">
            <w:pPr>
              <w:pStyle w:val="BodyText"/>
              <w:rPr>
                <w:b/>
                <w:bCs w:val="0"/>
              </w:rPr>
            </w:pPr>
            <w:r w:rsidRPr="00AF16D6">
              <w:rPr>
                <w:b/>
                <w:bCs w:val="0"/>
              </w:rPr>
              <w:t>IUDs</w:t>
            </w:r>
          </w:p>
        </w:tc>
        <w:tc>
          <w:tcPr>
            <w:tcW w:w="1666" w:type="pct"/>
          </w:tcPr>
          <w:p w14:paraId="60E13942" w14:textId="3F702A4E" w:rsidR="0000496A" w:rsidRDefault="0000496A" w:rsidP="00AF16D6">
            <w:pPr>
              <w:pStyle w:val="BodyText"/>
            </w:pPr>
            <w:r>
              <w:t>48</w:t>
            </w:r>
          </w:p>
        </w:tc>
        <w:tc>
          <w:tcPr>
            <w:tcW w:w="1667" w:type="pct"/>
          </w:tcPr>
          <w:p w14:paraId="3B5E8579" w14:textId="351F700A" w:rsidR="0000496A" w:rsidRDefault="0000496A" w:rsidP="00AF16D6">
            <w:pPr>
              <w:pStyle w:val="BodyText"/>
            </w:pPr>
            <w:r>
              <w:t>23</w:t>
            </w:r>
          </w:p>
        </w:tc>
      </w:tr>
      <w:tr w:rsidR="0000496A" w14:paraId="34ED5F1B" w14:textId="77777777" w:rsidTr="0000496A">
        <w:tc>
          <w:tcPr>
            <w:tcW w:w="1666" w:type="pct"/>
          </w:tcPr>
          <w:p w14:paraId="65B39D34" w14:textId="46569A02" w:rsidR="0000496A" w:rsidRPr="00AF16D6" w:rsidRDefault="0000496A" w:rsidP="00AF16D6">
            <w:pPr>
              <w:pStyle w:val="BodyText"/>
              <w:rPr>
                <w:b/>
                <w:bCs w:val="0"/>
              </w:rPr>
            </w:pPr>
            <w:r w:rsidRPr="00AF16D6">
              <w:rPr>
                <w:b/>
                <w:bCs w:val="0"/>
              </w:rPr>
              <w:t>Pills</w:t>
            </w:r>
          </w:p>
        </w:tc>
        <w:tc>
          <w:tcPr>
            <w:tcW w:w="1666" w:type="pct"/>
          </w:tcPr>
          <w:p w14:paraId="36A2D033" w14:textId="64CD53C8" w:rsidR="0000496A" w:rsidRDefault="0000496A" w:rsidP="00AF16D6">
            <w:pPr>
              <w:pStyle w:val="BodyText"/>
            </w:pPr>
            <w:r>
              <w:t>71</w:t>
            </w:r>
          </w:p>
        </w:tc>
        <w:tc>
          <w:tcPr>
            <w:tcW w:w="1667" w:type="pct"/>
          </w:tcPr>
          <w:p w14:paraId="1F19F51E" w14:textId="0B96DC62" w:rsidR="0000496A" w:rsidRDefault="0000496A" w:rsidP="00AF16D6">
            <w:pPr>
              <w:pStyle w:val="BodyText"/>
            </w:pPr>
            <w:r>
              <w:t>0</w:t>
            </w:r>
          </w:p>
        </w:tc>
      </w:tr>
      <w:tr w:rsidR="0000496A" w14:paraId="7490FC5C" w14:textId="77777777" w:rsidTr="0000496A">
        <w:tc>
          <w:tcPr>
            <w:tcW w:w="1666" w:type="pct"/>
          </w:tcPr>
          <w:p w14:paraId="11665817" w14:textId="077BD9A1" w:rsidR="0000496A" w:rsidRPr="00AF16D6" w:rsidRDefault="0000496A" w:rsidP="00AF16D6">
            <w:pPr>
              <w:pStyle w:val="BodyText"/>
              <w:rPr>
                <w:b/>
                <w:bCs w:val="0"/>
              </w:rPr>
            </w:pPr>
            <w:r w:rsidRPr="00AF16D6">
              <w:rPr>
                <w:b/>
                <w:bCs w:val="0"/>
              </w:rPr>
              <w:t>MTOP</w:t>
            </w:r>
          </w:p>
        </w:tc>
        <w:tc>
          <w:tcPr>
            <w:tcW w:w="1666" w:type="pct"/>
          </w:tcPr>
          <w:p w14:paraId="1E4E368F" w14:textId="7BB8B48F" w:rsidR="0000496A" w:rsidRDefault="0000496A" w:rsidP="00AF16D6">
            <w:pPr>
              <w:pStyle w:val="BodyText"/>
            </w:pPr>
            <w:r>
              <w:t>10</w:t>
            </w:r>
          </w:p>
        </w:tc>
        <w:tc>
          <w:tcPr>
            <w:tcW w:w="1667" w:type="pct"/>
          </w:tcPr>
          <w:p w14:paraId="398FDB60" w14:textId="5E8482EA" w:rsidR="0000496A" w:rsidRDefault="0000496A" w:rsidP="00AF16D6">
            <w:pPr>
              <w:pStyle w:val="BodyText"/>
            </w:pPr>
            <w:r>
              <w:t>6</w:t>
            </w:r>
            <w:r>
              <w:t>1</w:t>
            </w:r>
          </w:p>
        </w:tc>
      </w:tr>
    </w:tbl>
    <w:p w14:paraId="6ED62749" w14:textId="77777777" w:rsidR="00AF16D6" w:rsidRDefault="00AF16D6" w:rsidP="00AF16D6">
      <w:pPr>
        <w:pStyle w:val="Heading4"/>
        <w:rPr>
          <w:rStyle w:val="normaltextrun"/>
        </w:rPr>
      </w:pPr>
    </w:p>
    <w:p w14:paraId="3E019742" w14:textId="4082A3E4" w:rsidR="0071768F" w:rsidRPr="0071768F" w:rsidRDefault="0071768F" w:rsidP="00AF16D6">
      <w:pPr>
        <w:pStyle w:val="Heading4"/>
      </w:pPr>
      <w:r w:rsidRPr="0071768F">
        <w:rPr>
          <w:rStyle w:val="normaltextrun"/>
        </w:rPr>
        <w:lastRenderedPageBreak/>
        <w:t>Dental Dams </w:t>
      </w:r>
      <w:r w:rsidRPr="0071768F">
        <w:rPr>
          <w:rStyle w:val="eop"/>
        </w:rPr>
        <w:t> </w:t>
      </w:r>
    </w:p>
    <w:p w14:paraId="5E1483FC" w14:textId="77777777" w:rsidR="0071768F" w:rsidRPr="0071768F" w:rsidRDefault="0071768F" w:rsidP="00AF16D6">
      <w:pPr>
        <w:pStyle w:val="BodyText"/>
        <w:rPr>
          <w:rFonts w:ascii="Segoe UI" w:hAnsi="Segoe UI" w:cs="Segoe UI"/>
          <w:sz w:val="21"/>
          <w:szCs w:val="21"/>
        </w:rPr>
      </w:pPr>
      <w:r w:rsidRPr="0071768F">
        <w:rPr>
          <w:rStyle w:val="normaltextrun"/>
        </w:rPr>
        <w:t>Only one pharmacy in the NMR reported that they stocked dental dams (n=1). The single respondent who did report that their pharmacy stocked dental dams seemed slightly unsure of their answer. The primary reason respondents gave was due to no perceived demand for the product (n=21). Other reasons included only having a small pharmacy, respondent unsure or pharmacist unfamiliar with products stocked on the pharmacy floor, or a belief that their customer base do not require the product with one respondent stating that ‘they don’t serve that clientele’. A significant number of respondents stated that they had never heard of dental dams or were unfamiliar with the product (n= 37). </w:t>
      </w:r>
      <w:r w:rsidRPr="0071768F">
        <w:rPr>
          <w:rStyle w:val="eop"/>
        </w:rPr>
        <w:t> </w:t>
      </w:r>
    </w:p>
    <w:p w14:paraId="36DB2307" w14:textId="77777777" w:rsidR="00AF16D6" w:rsidRDefault="00AF16D6" w:rsidP="00AF16D6">
      <w:pPr>
        <w:pStyle w:val="Heading4"/>
        <w:rPr>
          <w:rStyle w:val="normaltextrun"/>
        </w:rPr>
      </w:pPr>
    </w:p>
    <w:p w14:paraId="54183F8D" w14:textId="28AE03F9" w:rsidR="0071768F" w:rsidRPr="0071768F" w:rsidRDefault="0071768F" w:rsidP="00AF16D6">
      <w:pPr>
        <w:pStyle w:val="Heading4"/>
      </w:pPr>
      <w:r w:rsidRPr="0071768F">
        <w:rPr>
          <w:rStyle w:val="normaltextrun"/>
        </w:rPr>
        <w:t>Contraceptive Pills</w:t>
      </w:r>
      <w:r w:rsidRPr="0071768F">
        <w:rPr>
          <w:rStyle w:val="eop"/>
        </w:rPr>
        <w:t> </w:t>
      </w:r>
    </w:p>
    <w:p w14:paraId="414AD85E" w14:textId="77777777" w:rsidR="0071768F" w:rsidRPr="0071768F" w:rsidRDefault="0071768F" w:rsidP="00AF16D6">
      <w:pPr>
        <w:pStyle w:val="BodyText"/>
        <w:rPr>
          <w:rFonts w:ascii="Segoe UI" w:hAnsi="Segoe UI" w:cs="Segoe UI"/>
          <w:sz w:val="21"/>
          <w:szCs w:val="21"/>
        </w:rPr>
      </w:pPr>
      <w:r w:rsidRPr="0071768F">
        <w:rPr>
          <w:rStyle w:val="normaltextrun"/>
        </w:rPr>
        <w:t>All pharmacies that completed the survey stated that they stocked contraceptive pills (n=71). Other than requiring a prescription, only 6 pharmacies had additional restrictions to purchasing contraceptive pills. Restrictions included: sale only allowed after consultation with patient (n=4), sale only allowed after considering patients’ medical conditions (n=3), and considerations based on time from last intercourse (n=1). </w:t>
      </w:r>
      <w:r w:rsidRPr="0071768F">
        <w:rPr>
          <w:rStyle w:val="eop"/>
        </w:rPr>
        <w:t> </w:t>
      </w:r>
    </w:p>
    <w:p w14:paraId="73C4D1B7" w14:textId="77777777" w:rsidR="00AF16D6" w:rsidRDefault="00AF16D6" w:rsidP="00AF16D6">
      <w:pPr>
        <w:pStyle w:val="Heading4"/>
        <w:rPr>
          <w:rStyle w:val="normaltextrun"/>
        </w:rPr>
      </w:pPr>
    </w:p>
    <w:p w14:paraId="6F5B674F" w14:textId="0FDB8688" w:rsidR="0071768F" w:rsidRPr="0071768F" w:rsidRDefault="0071768F" w:rsidP="00AF16D6">
      <w:pPr>
        <w:pStyle w:val="Heading4"/>
      </w:pPr>
      <w:r w:rsidRPr="0071768F">
        <w:rPr>
          <w:rStyle w:val="normaltextrun"/>
        </w:rPr>
        <w:t>Long-Acting Reversible Contraceptives</w:t>
      </w:r>
      <w:r w:rsidRPr="0071768F">
        <w:rPr>
          <w:rStyle w:val="eop"/>
        </w:rPr>
        <w:t> </w:t>
      </w:r>
    </w:p>
    <w:p w14:paraId="209747C0" w14:textId="77777777" w:rsidR="0071768F" w:rsidRPr="0071768F" w:rsidRDefault="0071768F" w:rsidP="00AF16D6">
      <w:pPr>
        <w:pStyle w:val="BodyText"/>
        <w:rPr>
          <w:rFonts w:ascii="Segoe UI" w:hAnsi="Segoe UI" w:cs="Segoe UI"/>
          <w:sz w:val="21"/>
          <w:szCs w:val="21"/>
        </w:rPr>
      </w:pPr>
      <w:r w:rsidRPr="0071768F">
        <w:rPr>
          <w:rStyle w:val="normaltextrun"/>
        </w:rPr>
        <w:t>Pharmacies were asked about three different long-acting reversible contraceptives (LARCs): contraceptive injections (i.e. Depo-Provera), contraceptive implants (i.e. Implanon), and intrauterine devices (IUDs). 75% of pharmacies who responded stocked contraceptive injections (n=53), 82% stocked contraceptive implants (n=58) and 68% stocked IUDs (n=48). Of those who stocked LARCs, no pharmacies reported having additional restrictions in purchasing the product beyond requiring a prescription. Of those who stocked IUDs, the majority of pharmacies stocked Mirena (n=44), followed by Kyleena (n=10), and copper IUDs (n=8). Some pharmacies stocked more than one type of IUD. Of those who did not stock one or more of the LARCs listed, the most common reason was a perceived lack of demand for the product. Multiple pharmacists stated a short expiry window and low turnover as a reason for not stocking the Mirena IUD. The shelf life for Mirena, the amount of time the product can remain unopened prior to insertion, is 3 years from manufacture date (Health Direct, n.d). </w:t>
      </w:r>
      <w:r w:rsidRPr="0071768F">
        <w:rPr>
          <w:rStyle w:val="eop"/>
        </w:rPr>
        <w:t> </w:t>
      </w:r>
    </w:p>
    <w:p w14:paraId="1A4650AC" w14:textId="77777777" w:rsidR="00AF16D6" w:rsidRDefault="00AF16D6" w:rsidP="00AF16D6">
      <w:pPr>
        <w:pStyle w:val="Heading4"/>
        <w:rPr>
          <w:rStyle w:val="normaltextrun"/>
        </w:rPr>
      </w:pPr>
    </w:p>
    <w:p w14:paraId="6C06EA44" w14:textId="77777777" w:rsidR="00AF16D6" w:rsidRDefault="00AF16D6" w:rsidP="00AF16D6">
      <w:pPr>
        <w:pStyle w:val="Heading4"/>
        <w:rPr>
          <w:rStyle w:val="normaltextrun"/>
        </w:rPr>
      </w:pPr>
    </w:p>
    <w:p w14:paraId="61D84EE6" w14:textId="77777777" w:rsidR="00AF16D6" w:rsidRDefault="00AF16D6" w:rsidP="00AF16D6">
      <w:pPr>
        <w:pStyle w:val="Heading4"/>
        <w:rPr>
          <w:rStyle w:val="normaltextrun"/>
        </w:rPr>
      </w:pPr>
    </w:p>
    <w:p w14:paraId="37A3C087" w14:textId="77777777" w:rsidR="00AF16D6" w:rsidRDefault="00AF16D6" w:rsidP="00AF16D6">
      <w:pPr>
        <w:pStyle w:val="Heading4"/>
        <w:rPr>
          <w:rStyle w:val="normaltextrun"/>
        </w:rPr>
      </w:pPr>
    </w:p>
    <w:p w14:paraId="333A96C0" w14:textId="77777777" w:rsidR="00AF16D6" w:rsidRDefault="00AF16D6" w:rsidP="00AF16D6">
      <w:pPr>
        <w:pStyle w:val="Heading4"/>
        <w:rPr>
          <w:rStyle w:val="normaltextrun"/>
        </w:rPr>
      </w:pPr>
    </w:p>
    <w:p w14:paraId="66A84293" w14:textId="201DD329" w:rsidR="0071768F" w:rsidRPr="0071768F" w:rsidRDefault="0071768F" w:rsidP="00AF16D6">
      <w:pPr>
        <w:pStyle w:val="Heading4"/>
      </w:pPr>
      <w:r w:rsidRPr="0071768F">
        <w:rPr>
          <w:rStyle w:val="normaltextrun"/>
        </w:rPr>
        <w:lastRenderedPageBreak/>
        <w:t>Emergency Contraceptive Pills </w:t>
      </w:r>
      <w:r w:rsidRPr="0071768F">
        <w:rPr>
          <w:rStyle w:val="eop"/>
        </w:rPr>
        <w:t> </w:t>
      </w:r>
    </w:p>
    <w:p w14:paraId="600EF996" w14:textId="24982DF0" w:rsidR="0071768F" w:rsidRPr="0071768F" w:rsidRDefault="0071768F" w:rsidP="00AF16D6">
      <w:pPr>
        <w:pStyle w:val="BodyText"/>
        <w:rPr>
          <w:rStyle w:val="eop"/>
        </w:rPr>
      </w:pPr>
      <w:r w:rsidRPr="0071768F">
        <w:rPr>
          <w:rStyle w:val="normaltextrun"/>
        </w:rPr>
        <w:t xml:space="preserve">Almost all respondents stated that their pharmacy stocked emergency contraceptive pills (ECP) (n=70, 99%). Of those who stocked ECP, 67% stated that they had restrictions on purchasing the product (n=48). Restrictions are </w:t>
      </w:r>
      <w:r>
        <w:rPr>
          <w:rStyle w:val="normaltextrun"/>
        </w:rPr>
        <w:t>outlined</w:t>
      </w:r>
      <w:r w:rsidRPr="0071768F">
        <w:rPr>
          <w:rStyle w:val="normaltextrun"/>
          <w:b/>
          <w:bCs w:val="0"/>
        </w:rPr>
        <w:t xml:space="preserve"> </w:t>
      </w:r>
      <w:r w:rsidRPr="0071768F">
        <w:rPr>
          <w:rStyle w:val="normaltextrun"/>
        </w:rPr>
        <w:t xml:space="preserve">in the list </w:t>
      </w:r>
      <w:r w:rsidRPr="0071768F">
        <w:rPr>
          <w:rStyle w:val="normaltextrun"/>
        </w:rPr>
        <w:t>below. Categories of restrictions are not mutually exclusive with some pharmacies noting multiple restrictions. </w:t>
      </w:r>
      <w:r w:rsidRPr="0071768F">
        <w:rPr>
          <w:rStyle w:val="eop"/>
        </w:rPr>
        <w:t> </w:t>
      </w:r>
    </w:p>
    <w:p w14:paraId="71F4F660" w14:textId="7ABC1B77" w:rsidR="0071768F" w:rsidRDefault="0071768F" w:rsidP="00AF16D6">
      <w:pPr>
        <w:pStyle w:val="BodyText"/>
        <w:numPr>
          <w:ilvl w:val="0"/>
          <w:numId w:val="43"/>
        </w:numPr>
      </w:pPr>
      <w:r w:rsidRPr="0071768F">
        <w:t>Must be purchased by user</w:t>
      </w:r>
      <w:r>
        <w:t>: 14</w:t>
      </w:r>
    </w:p>
    <w:p w14:paraId="1D76A329" w14:textId="4C7970B7" w:rsidR="0071768F" w:rsidRDefault="0071768F" w:rsidP="00AF16D6">
      <w:pPr>
        <w:pStyle w:val="BodyText"/>
        <w:numPr>
          <w:ilvl w:val="0"/>
          <w:numId w:val="43"/>
        </w:numPr>
      </w:pPr>
      <w:r>
        <w:t>Time since intercourse: 7</w:t>
      </w:r>
    </w:p>
    <w:p w14:paraId="69E5EAA1" w14:textId="30A73063" w:rsidR="0071768F" w:rsidRDefault="0071768F" w:rsidP="00AF16D6">
      <w:pPr>
        <w:pStyle w:val="BodyText"/>
        <w:numPr>
          <w:ilvl w:val="0"/>
          <w:numId w:val="43"/>
        </w:numPr>
      </w:pPr>
      <w:r>
        <w:t>Medical considerations: 14</w:t>
      </w:r>
    </w:p>
    <w:p w14:paraId="18F80141" w14:textId="2547341D" w:rsidR="0071768F" w:rsidRDefault="0071768F" w:rsidP="00AF16D6">
      <w:pPr>
        <w:pStyle w:val="BodyText"/>
        <w:numPr>
          <w:ilvl w:val="0"/>
          <w:numId w:val="43"/>
        </w:numPr>
      </w:pPr>
      <w:r>
        <w:t>Consultation required: 31</w:t>
      </w:r>
    </w:p>
    <w:p w14:paraId="37A70405" w14:textId="3BBD37A1" w:rsidR="0071768F" w:rsidRPr="0071768F" w:rsidRDefault="0071768F" w:rsidP="00AF16D6">
      <w:pPr>
        <w:pStyle w:val="BodyText"/>
        <w:numPr>
          <w:ilvl w:val="0"/>
          <w:numId w:val="43"/>
        </w:numPr>
      </w:pPr>
      <w:r>
        <w:t>Age restrictions: 15</w:t>
      </w:r>
    </w:p>
    <w:p w14:paraId="28D83FC5" w14:textId="13D7450C" w:rsidR="0000496A" w:rsidRDefault="0071768F" w:rsidP="00AF16D6">
      <w:pPr>
        <w:pStyle w:val="BodyText"/>
        <w:rPr>
          <w:rStyle w:val="eop"/>
        </w:rPr>
      </w:pPr>
      <w:r w:rsidRPr="0071768F">
        <w:rPr>
          <w:rStyle w:val="normaltextrun"/>
        </w:rPr>
        <w:t>The most common restriction was that pharmacists required a consultation with the person purchasing ECP (n=31). There were inconsistencies across the pharmacies who responded on whether ECP could only be purchased by the person who intends to use it. 14 pharmacies stated the product must be purchased by the end user, though other pharmacists commented verbally that someone could purchase the product on behalf of the user, with one pharmacist noting that there is no requirement of discussion ‘if the guy comes in’. Pharmacies were also inconsistent with their age requirements; however, an exact age cut-off was not asked of participants. Of those who reported any type of age restriction or additional consideration, some respondents noted additional considerations for those under 16 wanting ECP to determine if sexual assault was a factor (n=2). Other respondents noted that they refer persons under 16 to a general practitioner for a referral prior to allowing sale (n=2). One pharmacy reported requiring parental approval prior to sale to a person under 16. Several respondents who noted that their pharmacy does place restrictions on accessing ECP were vague in their responses with comments such as: ‘follow[ing] schedule 3 requirements,’ having ‘lots of requirements’ and completing a written form.  </w:t>
      </w:r>
      <w:r w:rsidRPr="0071768F">
        <w:rPr>
          <w:rStyle w:val="eop"/>
        </w:rPr>
        <w:t> </w:t>
      </w:r>
    </w:p>
    <w:p w14:paraId="077DBF5B" w14:textId="77777777" w:rsidR="00AF16D6" w:rsidRDefault="00AF16D6" w:rsidP="00AF16D6">
      <w:pPr>
        <w:pStyle w:val="Heading4"/>
        <w:rPr>
          <w:rStyle w:val="normaltextrun"/>
        </w:rPr>
      </w:pPr>
    </w:p>
    <w:p w14:paraId="13BBFF63" w14:textId="77777777" w:rsidR="00AF16D6" w:rsidRDefault="00AF16D6">
      <w:pPr>
        <w:rPr>
          <w:rStyle w:val="normaltextrun"/>
          <w:rFonts w:ascii="Poppins" w:eastAsia="Poppins Light" w:hAnsi="Poppins" w:cs="Poppins"/>
          <w:b/>
          <w:noProof/>
          <w:color w:val="5F5F5F" w:themeColor="text2"/>
          <w:sz w:val="22"/>
          <w:szCs w:val="22"/>
          <w:shd w:val="clear" w:color="auto" w:fill="FFFFFF"/>
          <w:lang w:val="en-NZ"/>
        </w:rPr>
      </w:pPr>
      <w:r>
        <w:rPr>
          <w:rStyle w:val="normaltextrun"/>
        </w:rPr>
        <w:br w:type="page"/>
      </w:r>
    </w:p>
    <w:p w14:paraId="31455A37" w14:textId="7E22AFB7" w:rsidR="0071768F" w:rsidRPr="0071768F" w:rsidRDefault="0071768F" w:rsidP="00AF16D6">
      <w:pPr>
        <w:pStyle w:val="Heading4"/>
      </w:pPr>
      <w:r w:rsidRPr="0071768F">
        <w:rPr>
          <w:rStyle w:val="normaltextrun"/>
        </w:rPr>
        <w:lastRenderedPageBreak/>
        <w:t>Medical Termination of Pregnancy Medication</w:t>
      </w:r>
      <w:r w:rsidRPr="0071768F">
        <w:rPr>
          <w:rStyle w:val="eop"/>
        </w:rPr>
        <w:t> </w:t>
      </w:r>
    </w:p>
    <w:p w14:paraId="4CA2B716" w14:textId="50BD6FEB" w:rsidR="0071768F" w:rsidRDefault="0071768F" w:rsidP="0071768F">
      <w:pPr>
        <w:pStyle w:val="paragraph"/>
        <w:spacing w:before="0" w:beforeAutospacing="0" w:after="0" w:afterAutospacing="0"/>
        <w:textAlignment w:val="baseline"/>
        <w:rPr>
          <w:rStyle w:val="eop"/>
          <w:rFonts w:ascii="Poppins" w:hAnsi="Poppins" w:cs="Poppins"/>
          <w:sz w:val="22"/>
          <w:szCs w:val="22"/>
        </w:rPr>
      </w:pPr>
      <w:r w:rsidRPr="0071768F">
        <w:rPr>
          <w:rStyle w:val="normaltextrun"/>
          <w:rFonts w:ascii="Poppins" w:hAnsi="Poppins" w:cs="Poppins"/>
          <w:sz w:val="22"/>
          <w:szCs w:val="22"/>
        </w:rPr>
        <w:t xml:space="preserve">Only 14% of respondents said their pharmacy stocked medical termination of pregnancy medication (n= 10). Figure </w:t>
      </w:r>
      <w:r>
        <w:rPr>
          <w:rStyle w:val="normaltextrun"/>
          <w:rFonts w:ascii="Poppins" w:hAnsi="Poppins" w:cs="Poppins"/>
          <w:sz w:val="22"/>
          <w:szCs w:val="22"/>
        </w:rPr>
        <w:t>3</w:t>
      </w:r>
      <w:r w:rsidRPr="0071768F">
        <w:rPr>
          <w:rStyle w:val="normaltextrun"/>
          <w:rFonts w:ascii="Poppins" w:hAnsi="Poppins" w:cs="Poppins"/>
          <w:sz w:val="22"/>
          <w:szCs w:val="22"/>
        </w:rPr>
        <w:t xml:space="preserve"> below shows the varying reasons why MTOP medication was not stocked in their pharmacy. </w:t>
      </w:r>
      <w:r w:rsidRPr="0071768F">
        <w:rPr>
          <w:rStyle w:val="eop"/>
          <w:rFonts w:ascii="Poppins" w:hAnsi="Poppins" w:cs="Poppins"/>
          <w:sz w:val="22"/>
          <w:szCs w:val="22"/>
        </w:rPr>
        <w:t> </w:t>
      </w:r>
    </w:p>
    <w:p w14:paraId="0E7B59B9" w14:textId="7309A055" w:rsidR="0071768F" w:rsidRDefault="0071768F" w:rsidP="0071768F">
      <w:pPr>
        <w:pStyle w:val="paragraph"/>
        <w:spacing w:before="0" w:beforeAutospacing="0" w:after="0" w:afterAutospacing="0"/>
        <w:textAlignment w:val="baseline"/>
        <w:rPr>
          <w:rStyle w:val="eop"/>
          <w:rFonts w:ascii="Poppins" w:hAnsi="Poppins" w:cs="Poppins"/>
          <w:b/>
          <w:bCs/>
          <w:sz w:val="22"/>
          <w:szCs w:val="22"/>
        </w:rPr>
      </w:pPr>
      <w:r>
        <w:rPr>
          <w:rStyle w:val="eop"/>
          <w:rFonts w:ascii="Poppins" w:hAnsi="Poppins" w:cs="Poppins"/>
          <w:b/>
          <w:bCs/>
          <w:sz w:val="22"/>
          <w:szCs w:val="22"/>
        </w:rPr>
        <w:t xml:space="preserve">Figure 3. Pharmacy respondents in the NMR: Reasons for not stocking MTOP medication. </w:t>
      </w:r>
    </w:p>
    <w:p w14:paraId="5358DB0F" w14:textId="3376163F" w:rsidR="0071768F" w:rsidRDefault="0071768F" w:rsidP="0071768F">
      <w:pPr>
        <w:pStyle w:val="paragraph"/>
        <w:spacing w:before="0" w:beforeAutospacing="0" w:after="0" w:afterAutospacing="0"/>
        <w:textAlignment w:val="baseline"/>
        <w:rPr>
          <w:rFonts w:ascii="Segoe UI" w:hAnsi="Segoe UI" w:cs="Segoe UI"/>
          <w:b/>
          <w:bCs/>
          <w:sz w:val="21"/>
          <w:szCs w:val="21"/>
        </w:rPr>
      </w:pPr>
      <w:r>
        <w:rPr>
          <w:rFonts w:ascii="Segoe UI" w:hAnsi="Segoe UI" w:cs="Segoe UI"/>
          <w:b/>
          <w:bCs/>
          <w:noProof/>
          <w:sz w:val="21"/>
          <w:szCs w:val="21"/>
        </w:rPr>
        <w:drawing>
          <wp:inline distT="0" distB="0" distL="0" distR="0" wp14:anchorId="3EE47F89" wp14:editId="4B8B888C">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4040EF" w14:textId="21653280" w:rsidR="00B16EC1" w:rsidRPr="00B16EC1" w:rsidRDefault="00B16EC1" w:rsidP="00AF16D6">
      <w:pPr>
        <w:pStyle w:val="BodyText"/>
        <w:rPr>
          <w:rFonts w:ascii="Segoe UI" w:hAnsi="Segoe UI" w:cs="Segoe UI"/>
          <w:b/>
          <w:sz w:val="24"/>
          <w:szCs w:val="24"/>
        </w:rPr>
      </w:pPr>
      <w:r w:rsidRPr="00B16EC1">
        <w:rPr>
          <w:rStyle w:val="normaltextrun"/>
        </w:rPr>
        <w:t>The most common reason for not stocking MTOP medication according to respondents was lack of perceived demand (n=23), followed by a lack of staff training (n=13), with three respondents stating that they are conscientious objectors. Other (n= 22) reasons included: respondent unsure why product not stocked (n=3), pharmacist refers clients to nearby providers who stock the product (n=3), low number of prescribing doctors in the area (n=2), or perceptions by the respondent that those decide the product orders do not support the product (n=2).  </w:t>
      </w:r>
      <w:r w:rsidRPr="00B16EC1">
        <w:rPr>
          <w:rStyle w:val="eop"/>
        </w:rPr>
        <w:t> </w:t>
      </w:r>
    </w:p>
    <w:p w14:paraId="22C6D76E" w14:textId="77777777" w:rsidR="00B16EC1" w:rsidRDefault="00B16EC1" w:rsidP="00B16EC1">
      <w:pPr>
        <w:pStyle w:val="Heading3"/>
        <w:rPr>
          <w:rStyle w:val="normaltextrun"/>
          <w:b w:val="0"/>
          <w:bCs/>
          <w:color w:val="7F7F7F"/>
        </w:rPr>
      </w:pPr>
    </w:p>
    <w:p w14:paraId="15AEB896" w14:textId="77777777" w:rsidR="00AF16D6" w:rsidRDefault="00AF16D6">
      <w:pPr>
        <w:rPr>
          <w:rStyle w:val="normaltextrun"/>
          <w:rFonts w:ascii="Poppins" w:eastAsia="Poppins Light" w:hAnsi="Poppins" w:cs="Poppins"/>
          <w:b/>
          <w:noProof/>
          <w:color w:val="000000" w:themeColor="text1"/>
          <w:sz w:val="26"/>
          <w:szCs w:val="26"/>
          <w:lang w:val="en-NZ"/>
        </w:rPr>
      </w:pPr>
      <w:r>
        <w:rPr>
          <w:rStyle w:val="normaltextrun"/>
        </w:rPr>
        <w:br w:type="page"/>
      </w:r>
    </w:p>
    <w:p w14:paraId="54134A20" w14:textId="2E412ED7" w:rsidR="00B16EC1" w:rsidRPr="00B16EC1" w:rsidRDefault="00B16EC1" w:rsidP="00B16EC1">
      <w:pPr>
        <w:pStyle w:val="Heading3"/>
        <w:rPr>
          <w:rFonts w:ascii="Segoe UI" w:hAnsi="Segoe UI" w:cs="Segoe UI"/>
          <w:sz w:val="18"/>
          <w:szCs w:val="18"/>
        </w:rPr>
      </w:pPr>
      <w:r w:rsidRPr="00B16EC1">
        <w:rPr>
          <w:rStyle w:val="normaltextrun"/>
        </w:rPr>
        <w:lastRenderedPageBreak/>
        <w:t>Results by Local Government Area</w:t>
      </w:r>
      <w:r w:rsidRPr="00B16EC1">
        <w:rPr>
          <w:rStyle w:val="eop"/>
        </w:rPr>
        <w:t> </w:t>
      </w:r>
    </w:p>
    <w:p w14:paraId="030F8658" w14:textId="77777777" w:rsidR="00B16EC1" w:rsidRPr="00B16EC1" w:rsidRDefault="00B16EC1" w:rsidP="00AF16D6">
      <w:pPr>
        <w:pStyle w:val="Heading4"/>
      </w:pPr>
      <w:r w:rsidRPr="00B16EC1">
        <w:rPr>
          <w:rStyle w:val="normaltextrun"/>
        </w:rPr>
        <w:t>Banyule</w:t>
      </w:r>
      <w:r w:rsidRPr="00B16EC1">
        <w:rPr>
          <w:rStyle w:val="eop"/>
        </w:rPr>
        <w:t> </w:t>
      </w:r>
    </w:p>
    <w:p w14:paraId="05A193D9" w14:textId="0F76FA93" w:rsidR="00B16EC1" w:rsidRPr="00B16EC1" w:rsidRDefault="00B16EC1" w:rsidP="00AF16D6">
      <w:pPr>
        <w:pStyle w:val="BodyText"/>
        <w:rPr>
          <w:rStyle w:val="eop"/>
        </w:rPr>
      </w:pPr>
      <w:r w:rsidRPr="00B16EC1">
        <w:rPr>
          <w:rStyle w:val="normaltextrun"/>
        </w:rPr>
        <w:t>The response rate for Banyule was 41% (n=10). No pharmacies stocked MTOP medication or dental dams. All pharmacies stocked contraceptive pills and emergency contraceptive pills. Only half of pharmacies stocked contraceptive injections and IUDs, with slightly more than half stocking contraceptive implants. </w:t>
      </w:r>
      <w:r w:rsidRPr="00B16EC1">
        <w:rPr>
          <w:rStyle w:val="eop"/>
        </w:rPr>
        <w:t> </w:t>
      </w:r>
    </w:p>
    <w:p w14:paraId="62779245" w14:textId="6AEC1B18" w:rsidR="00B16EC1" w:rsidRPr="00AF16D6" w:rsidRDefault="00B16EC1" w:rsidP="00AF16D6">
      <w:pPr>
        <w:pStyle w:val="BodyText"/>
        <w:rPr>
          <w:rStyle w:val="eop"/>
          <w:b/>
          <w:bCs w:val="0"/>
          <w:sz w:val="28"/>
          <w:szCs w:val="28"/>
        </w:rPr>
      </w:pPr>
      <w:r w:rsidRPr="0071768F">
        <w:rPr>
          <w:rStyle w:val="eop"/>
          <w:b/>
          <w:bCs w:val="0"/>
        </w:rPr>
        <w:t xml:space="preserve">Table </w:t>
      </w:r>
      <w:r>
        <w:rPr>
          <w:rStyle w:val="eop"/>
          <w:b/>
          <w:bCs w:val="0"/>
        </w:rPr>
        <w:t>3</w:t>
      </w:r>
      <w:r w:rsidRPr="0071768F">
        <w:rPr>
          <w:rStyle w:val="eop"/>
          <w:b/>
          <w:bCs w:val="0"/>
        </w:rPr>
        <w:t xml:space="preserve">. Sexual and reproductive health phramaceuticals stocked </w:t>
      </w:r>
      <w:r>
        <w:rPr>
          <w:rStyle w:val="eop"/>
          <w:b/>
          <w:bCs w:val="0"/>
        </w:rPr>
        <w:t>in the City of Banyule.</w:t>
      </w:r>
    </w:p>
    <w:tbl>
      <w:tblPr>
        <w:tblStyle w:val="TableGrid"/>
        <w:tblW w:w="5000" w:type="pct"/>
        <w:tblLook w:val="04A0" w:firstRow="1" w:lastRow="0" w:firstColumn="1" w:lastColumn="0" w:noHBand="0" w:noVBand="1"/>
      </w:tblPr>
      <w:tblGrid>
        <w:gridCol w:w="3243"/>
        <w:gridCol w:w="3243"/>
        <w:gridCol w:w="3244"/>
      </w:tblGrid>
      <w:tr w:rsidR="00B16EC1" w:rsidRPr="0000496A" w14:paraId="52F745F1" w14:textId="77777777" w:rsidTr="009C7A15">
        <w:tc>
          <w:tcPr>
            <w:tcW w:w="1666" w:type="pct"/>
          </w:tcPr>
          <w:p w14:paraId="5A3DF367" w14:textId="77777777" w:rsidR="00B16EC1" w:rsidRPr="00AF16D6" w:rsidRDefault="00B16EC1" w:rsidP="00AF16D6">
            <w:pPr>
              <w:pStyle w:val="BodyText"/>
              <w:rPr>
                <w:b/>
                <w:bCs w:val="0"/>
              </w:rPr>
            </w:pPr>
            <w:r w:rsidRPr="00AF16D6">
              <w:rPr>
                <w:b/>
                <w:bCs w:val="0"/>
              </w:rPr>
              <w:t>Pharmaceutical</w:t>
            </w:r>
          </w:p>
        </w:tc>
        <w:tc>
          <w:tcPr>
            <w:tcW w:w="1666" w:type="pct"/>
          </w:tcPr>
          <w:p w14:paraId="15AFAD8F" w14:textId="77777777" w:rsidR="00B16EC1" w:rsidRPr="00AF16D6" w:rsidRDefault="00B16EC1" w:rsidP="00AF16D6">
            <w:pPr>
              <w:pStyle w:val="BodyText"/>
              <w:rPr>
                <w:b/>
                <w:bCs w:val="0"/>
              </w:rPr>
            </w:pPr>
            <w:r w:rsidRPr="00AF16D6">
              <w:rPr>
                <w:b/>
                <w:bCs w:val="0"/>
              </w:rPr>
              <w:t>Yes</w:t>
            </w:r>
          </w:p>
        </w:tc>
        <w:tc>
          <w:tcPr>
            <w:tcW w:w="1667" w:type="pct"/>
          </w:tcPr>
          <w:p w14:paraId="0FA1F316" w14:textId="77777777" w:rsidR="00B16EC1" w:rsidRPr="00AF16D6" w:rsidRDefault="00B16EC1" w:rsidP="00AF16D6">
            <w:pPr>
              <w:pStyle w:val="BodyText"/>
              <w:rPr>
                <w:b/>
                <w:bCs w:val="0"/>
              </w:rPr>
            </w:pPr>
            <w:r w:rsidRPr="00AF16D6">
              <w:rPr>
                <w:b/>
                <w:bCs w:val="0"/>
              </w:rPr>
              <w:t>No</w:t>
            </w:r>
          </w:p>
        </w:tc>
      </w:tr>
      <w:tr w:rsidR="00B16EC1" w14:paraId="762EFAE6" w14:textId="77777777" w:rsidTr="009C7A15">
        <w:tc>
          <w:tcPr>
            <w:tcW w:w="1666" w:type="pct"/>
          </w:tcPr>
          <w:p w14:paraId="73431C2B" w14:textId="77777777" w:rsidR="00B16EC1" w:rsidRPr="00AF16D6" w:rsidRDefault="00B16EC1" w:rsidP="00AF16D6">
            <w:pPr>
              <w:pStyle w:val="BodyText"/>
              <w:rPr>
                <w:b/>
                <w:bCs w:val="0"/>
              </w:rPr>
            </w:pPr>
            <w:r w:rsidRPr="00AF16D6">
              <w:rPr>
                <w:b/>
                <w:bCs w:val="0"/>
              </w:rPr>
              <w:t>Dental dams</w:t>
            </w:r>
          </w:p>
        </w:tc>
        <w:tc>
          <w:tcPr>
            <w:tcW w:w="1666" w:type="pct"/>
          </w:tcPr>
          <w:p w14:paraId="709C93DB" w14:textId="3D99ED15" w:rsidR="00B16EC1" w:rsidRDefault="00B16EC1" w:rsidP="00AF16D6">
            <w:pPr>
              <w:pStyle w:val="BodyText"/>
            </w:pPr>
            <w:r>
              <w:t>0</w:t>
            </w:r>
          </w:p>
        </w:tc>
        <w:tc>
          <w:tcPr>
            <w:tcW w:w="1667" w:type="pct"/>
          </w:tcPr>
          <w:p w14:paraId="41E12AAD" w14:textId="2468C798" w:rsidR="00B16EC1" w:rsidRDefault="00B16EC1" w:rsidP="00AF16D6">
            <w:pPr>
              <w:pStyle w:val="BodyText"/>
            </w:pPr>
            <w:r>
              <w:t>1</w:t>
            </w:r>
            <w:r>
              <w:t>0</w:t>
            </w:r>
          </w:p>
        </w:tc>
      </w:tr>
      <w:tr w:rsidR="00B16EC1" w14:paraId="102B3E47" w14:textId="77777777" w:rsidTr="009C7A15">
        <w:tc>
          <w:tcPr>
            <w:tcW w:w="1666" w:type="pct"/>
          </w:tcPr>
          <w:p w14:paraId="035C3169" w14:textId="77777777" w:rsidR="00B16EC1" w:rsidRPr="00AF16D6" w:rsidRDefault="00B16EC1" w:rsidP="00AF16D6">
            <w:pPr>
              <w:pStyle w:val="BodyText"/>
              <w:rPr>
                <w:b/>
                <w:bCs w:val="0"/>
              </w:rPr>
            </w:pPr>
            <w:r w:rsidRPr="00AF16D6">
              <w:rPr>
                <w:b/>
                <w:bCs w:val="0"/>
              </w:rPr>
              <w:t>ECP</w:t>
            </w:r>
          </w:p>
        </w:tc>
        <w:tc>
          <w:tcPr>
            <w:tcW w:w="1666" w:type="pct"/>
          </w:tcPr>
          <w:p w14:paraId="02E03355" w14:textId="31C20EA3" w:rsidR="00B16EC1" w:rsidRDefault="00B16EC1" w:rsidP="00AF16D6">
            <w:pPr>
              <w:pStyle w:val="BodyText"/>
            </w:pPr>
            <w:r>
              <w:t>10</w:t>
            </w:r>
          </w:p>
        </w:tc>
        <w:tc>
          <w:tcPr>
            <w:tcW w:w="1667" w:type="pct"/>
          </w:tcPr>
          <w:p w14:paraId="6E1E0178" w14:textId="2AA2D24C" w:rsidR="00B16EC1" w:rsidRDefault="00B16EC1" w:rsidP="00AF16D6">
            <w:pPr>
              <w:pStyle w:val="BodyText"/>
            </w:pPr>
            <w:r>
              <w:t>0</w:t>
            </w:r>
          </w:p>
        </w:tc>
      </w:tr>
      <w:tr w:rsidR="00B16EC1" w14:paraId="2E0C3EDF" w14:textId="77777777" w:rsidTr="009C7A15">
        <w:tc>
          <w:tcPr>
            <w:tcW w:w="1666" w:type="pct"/>
          </w:tcPr>
          <w:p w14:paraId="6600E090" w14:textId="77777777" w:rsidR="00B16EC1" w:rsidRPr="00AF16D6" w:rsidRDefault="00B16EC1" w:rsidP="00AF16D6">
            <w:pPr>
              <w:pStyle w:val="BodyText"/>
              <w:rPr>
                <w:b/>
                <w:bCs w:val="0"/>
              </w:rPr>
            </w:pPr>
            <w:r w:rsidRPr="00AF16D6">
              <w:rPr>
                <w:b/>
                <w:bCs w:val="0"/>
              </w:rPr>
              <w:t>Implants</w:t>
            </w:r>
          </w:p>
        </w:tc>
        <w:tc>
          <w:tcPr>
            <w:tcW w:w="1666" w:type="pct"/>
          </w:tcPr>
          <w:p w14:paraId="4AB3EC0C" w14:textId="5A5BF9F2" w:rsidR="00B16EC1" w:rsidRDefault="00B16EC1" w:rsidP="00AF16D6">
            <w:pPr>
              <w:pStyle w:val="BodyText"/>
            </w:pPr>
            <w:r>
              <w:t>6</w:t>
            </w:r>
          </w:p>
        </w:tc>
        <w:tc>
          <w:tcPr>
            <w:tcW w:w="1667" w:type="pct"/>
          </w:tcPr>
          <w:p w14:paraId="73736C3C" w14:textId="188169D5" w:rsidR="00B16EC1" w:rsidRDefault="00B16EC1" w:rsidP="00AF16D6">
            <w:pPr>
              <w:pStyle w:val="BodyText"/>
            </w:pPr>
            <w:r>
              <w:t>4</w:t>
            </w:r>
          </w:p>
        </w:tc>
      </w:tr>
      <w:tr w:rsidR="00B16EC1" w14:paraId="127C57B0" w14:textId="77777777" w:rsidTr="009C7A15">
        <w:tc>
          <w:tcPr>
            <w:tcW w:w="1666" w:type="pct"/>
          </w:tcPr>
          <w:p w14:paraId="26D4BB44" w14:textId="77777777" w:rsidR="00B16EC1" w:rsidRPr="00AF16D6" w:rsidRDefault="00B16EC1" w:rsidP="00AF16D6">
            <w:pPr>
              <w:pStyle w:val="BodyText"/>
              <w:rPr>
                <w:b/>
                <w:bCs w:val="0"/>
              </w:rPr>
            </w:pPr>
            <w:r w:rsidRPr="00AF16D6">
              <w:rPr>
                <w:b/>
                <w:bCs w:val="0"/>
              </w:rPr>
              <w:t>Injections</w:t>
            </w:r>
          </w:p>
        </w:tc>
        <w:tc>
          <w:tcPr>
            <w:tcW w:w="1666" w:type="pct"/>
          </w:tcPr>
          <w:p w14:paraId="4A20F9C4" w14:textId="43356133" w:rsidR="00B16EC1" w:rsidRDefault="00B16EC1" w:rsidP="00AF16D6">
            <w:pPr>
              <w:pStyle w:val="BodyText"/>
            </w:pPr>
            <w:r>
              <w:t>5</w:t>
            </w:r>
          </w:p>
        </w:tc>
        <w:tc>
          <w:tcPr>
            <w:tcW w:w="1667" w:type="pct"/>
          </w:tcPr>
          <w:p w14:paraId="6E1ABAC7" w14:textId="79656DE2" w:rsidR="00B16EC1" w:rsidRDefault="00B16EC1" w:rsidP="00AF16D6">
            <w:pPr>
              <w:pStyle w:val="BodyText"/>
            </w:pPr>
            <w:r>
              <w:t>5</w:t>
            </w:r>
          </w:p>
        </w:tc>
      </w:tr>
      <w:tr w:rsidR="00B16EC1" w14:paraId="0E41975D" w14:textId="77777777" w:rsidTr="009C7A15">
        <w:tc>
          <w:tcPr>
            <w:tcW w:w="1666" w:type="pct"/>
          </w:tcPr>
          <w:p w14:paraId="473CA3EC" w14:textId="77777777" w:rsidR="00B16EC1" w:rsidRPr="00AF16D6" w:rsidRDefault="00B16EC1" w:rsidP="00AF16D6">
            <w:pPr>
              <w:pStyle w:val="BodyText"/>
              <w:rPr>
                <w:b/>
                <w:bCs w:val="0"/>
              </w:rPr>
            </w:pPr>
            <w:r w:rsidRPr="00AF16D6">
              <w:rPr>
                <w:b/>
                <w:bCs w:val="0"/>
              </w:rPr>
              <w:t>IUDs</w:t>
            </w:r>
          </w:p>
        </w:tc>
        <w:tc>
          <w:tcPr>
            <w:tcW w:w="1666" w:type="pct"/>
          </w:tcPr>
          <w:p w14:paraId="7C697C48" w14:textId="1BC71476" w:rsidR="00B16EC1" w:rsidRDefault="00B16EC1" w:rsidP="00AF16D6">
            <w:pPr>
              <w:pStyle w:val="BodyText"/>
            </w:pPr>
            <w:r>
              <w:t>5</w:t>
            </w:r>
          </w:p>
        </w:tc>
        <w:tc>
          <w:tcPr>
            <w:tcW w:w="1667" w:type="pct"/>
          </w:tcPr>
          <w:p w14:paraId="75D1D768" w14:textId="023041B5" w:rsidR="00B16EC1" w:rsidRDefault="00B16EC1" w:rsidP="00AF16D6">
            <w:pPr>
              <w:pStyle w:val="BodyText"/>
            </w:pPr>
            <w:r>
              <w:t>5</w:t>
            </w:r>
          </w:p>
        </w:tc>
      </w:tr>
      <w:tr w:rsidR="00B16EC1" w14:paraId="1817C871" w14:textId="77777777" w:rsidTr="009C7A15">
        <w:tc>
          <w:tcPr>
            <w:tcW w:w="1666" w:type="pct"/>
          </w:tcPr>
          <w:p w14:paraId="05587187" w14:textId="77777777" w:rsidR="00B16EC1" w:rsidRPr="00AF16D6" w:rsidRDefault="00B16EC1" w:rsidP="00AF16D6">
            <w:pPr>
              <w:pStyle w:val="BodyText"/>
              <w:rPr>
                <w:b/>
                <w:bCs w:val="0"/>
              </w:rPr>
            </w:pPr>
            <w:r w:rsidRPr="00AF16D6">
              <w:rPr>
                <w:b/>
                <w:bCs w:val="0"/>
              </w:rPr>
              <w:t>Pills</w:t>
            </w:r>
          </w:p>
        </w:tc>
        <w:tc>
          <w:tcPr>
            <w:tcW w:w="1666" w:type="pct"/>
          </w:tcPr>
          <w:p w14:paraId="2D07F800" w14:textId="33868529" w:rsidR="00B16EC1" w:rsidRDefault="00B16EC1" w:rsidP="00AF16D6">
            <w:pPr>
              <w:pStyle w:val="BodyText"/>
            </w:pPr>
            <w:r>
              <w:t>10</w:t>
            </w:r>
          </w:p>
        </w:tc>
        <w:tc>
          <w:tcPr>
            <w:tcW w:w="1667" w:type="pct"/>
          </w:tcPr>
          <w:p w14:paraId="25C1D512" w14:textId="77777777" w:rsidR="00B16EC1" w:rsidRDefault="00B16EC1" w:rsidP="00AF16D6">
            <w:pPr>
              <w:pStyle w:val="BodyText"/>
            </w:pPr>
            <w:r>
              <w:t>0</w:t>
            </w:r>
          </w:p>
        </w:tc>
      </w:tr>
      <w:tr w:rsidR="00B16EC1" w14:paraId="1D4060FA" w14:textId="77777777" w:rsidTr="009C7A15">
        <w:tc>
          <w:tcPr>
            <w:tcW w:w="1666" w:type="pct"/>
          </w:tcPr>
          <w:p w14:paraId="637153AA" w14:textId="77777777" w:rsidR="00B16EC1" w:rsidRPr="00AF16D6" w:rsidRDefault="00B16EC1" w:rsidP="00AF16D6">
            <w:pPr>
              <w:pStyle w:val="BodyText"/>
              <w:rPr>
                <w:b/>
                <w:bCs w:val="0"/>
              </w:rPr>
            </w:pPr>
            <w:r w:rsidRPr="00AF16D6">
              <w:rPr>
                <w:b/>
                <w:bCs w:val="0"/>
              </w:rPr>
              <w:t>MTOP</w:t>
            </w:r>
          </w:p>
        </w:tc>
        <w:tc>
          <w:tcPr>
            <w:tcW w:w="1666" w:type="pct"/>
          </w:tcPr>
          <w:p w14:paraId="0DA39EF1" w14:textId="30223A78" w:rsidR="00B16EC1" w:rsidRDefault="00B16EC1" w:rsidP="00AF16D6">
            <w:pPr>
              <w:pStyle w:val="BodyText"/>
            </w:pPr>
            <w:r>
              <w:t>0</w:t>
            </w:r>
          </w:p>
        </w:tc>
        <w:tc>
          <w:tcPr>
            <w:tcW w:w="1667" w:type="pct"/>
          </w:tcPr>
          <w:p w14:paraId="59153288" w14:textId="50ABD037" w:rsidR="00B16EC1" w:rsidRDefault="00B16EC1" w:rsidP="00AF16D6">
            <w:pPr>
              <w:pStyle w:val="BodyText"/>
            </w:pPr>
            <w:r>
              <w:t>10</w:t>
            </w:r>
          </w:p>
        </w:tc>
      </w:tr>
    </w:tbl>
    <w:p w14:paraId="32895992" w14:textId="6A5FA784" w:rsidR="00B16EC1" w:rsidRDefault="00B16EC1" w:rsidP="00B16EC1">
      <w:pPr>
        <w:pStyle w:val="paragraph"/>
        <w:spacing w:before="0" w:beforeAutospacing="0" w:after="0" w:afterAutospacing="0"/>
        <w:textAlignment w:val="baseline"/>
        <w:rPr>
          <w:rFonts w:ascii="Segoe UI" w:hAnsi="Segoe UI" w:cs="Segoe UI"/>
          <w:sz w:val="18"/>
          <w:szCs w:val="18"/>
        </w:rPr>
      </w:pPr>
    </w:p>
    <w:p w14:paraId="41A3ADD3" w14:textId="77777777" w:rsidR="00AF16D6" w:rsidRDefault="00AF16D6">
      <w:pPr>
        <w:rPr>
          <w:rStyle w:val="normaltextrun"/>
          <w:rFonts w:ascii="Poppins" w:eastAsia="Poppins Light" w:hAnsi="Poppins" w:cs="Poppins"/>
          <w:b/>
          <w:noProof/>
          <w:color w:val="5F5F5F" w:themeColor="text2"/>
          <w:sz w:val="22"/>
          <w:szCs w:val="22"/>
          <w:shd w:val="clear" w:color="auto" w:fill="FFFFFF"/>
          <w:lang w:val="en-NZ"/>
        </w:rPr>
      </w:pPr>
      <w:r>
        <w:rPr>
          <w:rStyle w:val="normaltextrun"/>
        </w:rPr>
        <w:br w:type="page"/>
      </w:r>
    </w:p>
    <w:p w14:paraId="745865CC" w14:textId="767A01CB" w:rsidR="00B16EC1" w:rsidRPr="00B16EC1" w:rsidRDefault="00B16EC1" w:rsidP="00AF16D6">
      <w:pPr>
        <w:pStyle w:val="Heading4"/>
      </w:pPr>
      <w:r w:rsidRPr="00B16EC1">
        <w:rPr>
          <w:rStyle w:val="normaltextrun"/>
        </w:rPr>
        <w:lastRenderedPageBreak/>
        <w:t>Darebin</w:t>
      </w:r>
      <w:r w:rsidRPr="00B16EC1">
        <w:rPr>
          <w:rStyle w:val="eop"/>
        </w:rPr>
        <w:t> </w:t>
      </w:r>
    </w:p>
    <w:p w14:paraId="7E463A77" w14:textId="42C686F7" w:rsidR="00B16EC1" w:rsidRDefault="00B16EC1" w:rsidP="00B16EC1">
      <w:pPr>
        <w:pStyle w:val="paragraph"/>
        <w:spacing w:before="0" w:beforeAutospacing="0" w:after="0" w:afterAutospacing="0"/>
        <w:textAlignment w:val="baseline"/>
        <w:rPr>
          <w:rStyle w:val="eop"/>
          <w:rFonts w:ascii="Poppins" w:hAnsi="Poppins" w:cs="Poppins"/>
          <w:sz w:val="22"/>
          <w:szCs w:val="22"/>
        </w:rPr>
      </w:pPr>
      <w:r w:rsidRPr="00B16EC1">
        <w:rPr>
          <w:rStyle w:val="normaltextrun"/>
          <w:rFonts w:ascii="Poppins" w:hAnsi="Poppins" w:cs="Poppins"/>
          <w:sz w:val="22"/>
          <w:szCs w:val="22"/>
        </w:rPr>
        <w:t>The response rate for Darebin was 52% (n=15). No pharmacies stocked dental dams. All pharmacies stocked contraceptive pills and ECP. A large majority of pharmacies stocked contraceptive implants, with a smaller majority stocking contraceptive injections and IUDs. Only 20% of pharmacies in Darebin stocked MTOP medication. </w:t>
      </w:r>
      <w:r w:rsidRPr="00B16EC1">
        <w:rPr>
          <w:rStyle w:val="eop"/>
          <w:rFonts w:ascii="Poppins" w:hAnsi="Poppins" w:cs="Poppins"/>
          <w:sz w:val="22"/>
          <w:szCs w:val="22"/>
        </w:rPr>
        <w:t> </w:t>
      </w:r>
    </w:p>
    <w:p w14:paraId="55347910" w14:textId="591531A7" w:rsidR="00B16EC1" w:rsidRDefault="00B16EC1" w:rsidP="00B16EC1">
      <w:pPr>
        <w:pStyle w:val="paragraph"/>
        <w:spacing w:before="0" w:beforeAutospacing="0" w:after="0" w:afterAutospacing="0"/>
        <w:textAlignment w:val="baseline"/>
        <w:rPr>
          <w:rStyle w:val="eop"/>
          <w:rFonts w:ascii="Poppins" w:hAnsi="Poppins" w:cs="Poppins"/>
          <w:sz w:val="22"/>
          <w:szCs w:val="22"/>
        </w:rPr>
      </w:pPr>
    </w:p>
    <w:p w14:paraId="5A7232C0" w14:textId="6885311C" w:rsidR="00B16EC1" w:rsidRPr="00B16EC1" w:rsidRDefault="00B16EC1" w:rsidP="00AF16D6">
      <w:pPr>
        <w:pStyle w:val="BodyText"/>
        <w:rPr>
          <w:rStyle w:val="eop"/>
          <w:b/>
          <w:bCs w:val="0"/>
          <w:sz w:val="28"/>
          <w:szCs w:val="28"/>
        </w:rPr>
      </w:pPr>
      <w:r w:rsidRPr="0071768F">
        <w:rPr>
          <w:rStyle w:val="eop"/>
          <w:b/>
          <w:bCs w:val="0"/>
        </w:rPr>
        <w:t xml:space="preserve">Table </w:t>
      </w:r>
      <w:r>
        <w:rPr>
          <w:rStyle w:val="eop"/>
          <w:b/>
          <w:bCs w:val="0"/>
        </w:rPr>
        <w:t>4</w:t>
      </w:r>
      <w:r w:rsidRPr="0071768F">
        <w:rPr>
          <w:rStyle w:val="eop"/>
          <w:b/>
          <w:bCs w:val="0"/>
        </w:rPr>
        <w:t xml:space="preserve">. Sexual and reproductive health phramaceuticals stocked </w:t>
      </w:r>
      <w:r>
        <w:rPr>
          <w:rStyle w:val="eop"/>
          <w:b/>
          <w:bCs w:val="0"/>
        </w:rPr>
        <w:t xml:space="preserve">in the City of </w:t>
      </w:r>
      <w:r>
        <w:rPr>
          <w:rStyle w:val="eop"/>
          <w:b/>
          <w:bCs w:val="0"/>
        </w:rPr>
        <w:t xml:space="preserve">Darebin. </w:t>
      </w:r>
    </w:p>
    <w:tbl>
      <w:tblPr>
        <w:tblStyle w:val="TableGrid"/>
        <w:tblW w:w="5000" w:type="pct"/>
        <w:tblLook w:val="04A0" w:firstRow="1" w:lastRow="0" w:firstColumn="1" w:lastColumn="0" w:noHBand="0" w:noVBand="1"/>
      </w:tblPr>
      <w:tblGrid>
        <w:gridCol w:w="3243"/>
        <w:gridCol w:w="3243"/>
        <w:gridCol w:w="3244"/>
      </w:tblGrid>
      <w:tr w:rsidR="00B16EC1" w:rsidRPr="0000496A" w14:paraId="0BFA032F" w14:textId="77777777" w:rsidTr="009C7A15">
        <w:tc>
          <w:tcPr>
            <w:tcW w:w="1666" w:type="pct"/>
          </w:tcPr>
          <w:p w14:paraId="6A11D547" w14:textId="77777777" w:rsidR="00B16EC1" w:rsidRPr="00AF16D6" w:rsidRDefault="00B16EC1" w:rsidP="00AF16D6">
            <w:pPr>
              <w:pStyle w:val="BodyText"/>
              <w:rPr>
                <w:b/>
                <w:bCs w:val="0"/>
              </w:rPr>
            </w:pPr>
            <w:r w:rsidRPr="00AF16D6">
              <w:rPr>
                <w:b/>
                <w:bCs w:val="0"/>
              </w:rPr>
              <w:t>Pharmaceutical</w:t>
            </w:r>
          </w:p>
        </w:tc>
        <w:tc>
          <w:tcPr>
            <w:tcW w:w="1666" w:type="pct"/>
          </w:tcPr>
          <w:p w14:paraId="492FE35A" w14:textId="77777777" w:rsidR="00B16EC1" w:rsidRPr="00AF16D6" w:rsidRDefault="00B16EC1" w:rsidP="00AF16D6">
            <w:pPr>
              <w:pStyle w:val="BodyText"/>
              <w:rPr>
                <w:b/>
                <w:bCs w:val="0"/>
              </w:rPr>
            </w:pPr>
            <w:r w:rsidRPr="00AF16D6">
              <w:rPr>
                <w:b/>
                <w:bCs w:val="0"/>
              </w:rPr>
              <w:t>Yes</w:t>
            </w:r>
          </w:p>
        </w:tc>
        <w:tc>
          <w:tcPr>
            <w:tcW w:w="1667" w:type="pct"/>
          </w:tcPr>
          <w:p w14:paraId="4D31D660" w14:textId="77777777" w:rsidR="00B16EC1" w:rsidRPr="00AF16D6" w:rsidRDefault="00B16EC1" w:rsidP="00AF16D6">
            <w:pPr>
              <w:pStyle w:val="BodyText"/>
              <w:rPr>
                <w:b/>
                <w:bCs w:val="0"/>
              </w:rPr>
            </w:pPr>
            <w:r w:rsidRPr="00AF16D6">
              <w:rPr>
                <w:b/>
                <w:bCs w:val="0"/>
              </w:rPr>
              <w:t>No</w:t>
            </w:r>
          </w:p>
        </w:tc>
      </w:tr>
      <w:tr w:rsidR="00B16EC1" w14:paraId="42A8AFCC" w14:textId="77777777" w:rsidTr="009C7A15">
        <w:tc>
          <w:tcPr>
            <w:tcW w:w="1666" w:type="pct"/>
          </w:tcPr>
          <w:p w14:paraId="1158E18B" w14:textId="77777777" w:rsidR="00B16EC1" w:rsidRPr="00AF16D6" w:rsidRDefault="00B16EC1" w:rsidP="00AF16D6">
            <w:pPr>
              <w:pStyle w:val="BodyText"/>
              <w:rPr>
                <w:b/>
                <w:bCs w:val="0"/>
              </w:rPr>
            </w:pPr>
            <w:r w:rsidRPr="00AF16D6">
              <w:rPr>
                <w:b/>
                <w:bCs w:val="0"/>
              </w:rPr>
              <w:t>Dental dams</w:t>
            </w:r>
          </w:p>
        </w:tc>
        <w:tc>
          <w:tcPr>
            <w:tcW w:w="1666" w:type="pct"/>
          </w:tcPr>
          <w:p w14:paraId="19D13F34" w14:textId="77777777" w:rsidR="00B16EC1" w:rsidRDefault="00B16EC1" w:rsidP="00AF16D6">
            <w:pPr>
              <w:pStyle w:val="BodyText"/>
            </w:pPr>
            <w:r>
              <w:t>0</w:t>
            </w:r>
          </w:p>
        </w:tc>
        <w:tc>
          <w:tcPr>
            <w:tcW w:w="1667" w:type="pct"/>
          </w:tcPr>
          <w:p w14:paraId="0B728017" w14:textId="03AEB49D" w:rsidR="00B16EC1" w:rsidRDefault="00B16EC1" w:rsidP="00AF16D6">
            <w:pPr>
              <w:pStyle w:val="BodyText"/>
            </w:pPr>
            <w:r>
              <w:t>1</w:t>
            </w:r>
            <w:r>
              <w:t>5</w:t>
            </w:r>
          </w:p>
        </w:tc>
      </w:tr>
      <w:tr w:rsidR="00B16EC1" w14:paraId="756C48AA" w14:textId="77777777" w:rsidTr="009C7A15">
        <w:tc>
          <w:tcPr>
            <w:tcW w:w="1666" w:type="pct"/>
          </w:tcPr>
          <w:p w14:paraId="5C6CFCD9" w14:textId="77777777" w:rsidR="00B16EC1" w:rsidRPr="00AF16D6" w:rsidRDefault="00B16EC1" w:rsidP="00AF16D6">
            <w:pPr>
              <w:pStyle w:val="BodyText"/>
              <w:rPr>
                <w:b/>
                <w:bCs w:val="0"/>
              </w:rPr>
            </w:pPr>
            <w:r w:rsidRPr="00AF16D6">
              <w:rPr>
                <w:b/>
                <w:bCs w:val="0"/>
              </w:rPr>
              <w:t>ECP</w:t>
            </w:r>
          </w:p>
        </w:tc>
        <w:tc>
          <w:tcPr>
            <w:tcW w:w="1666" w:type="pct"/>
          </w:tcPr>
          <w:p w14:paraId="5C2D0592" w14:textId="0298DD67" w:rsidR="00B16EC1" w:rsidRDefault="00B16EC1" w:rsidP="00AF16D6">
            <w:pPr>
              <w:pStyle w:val="BodyText"/>
            </w:pPr>
            <w:r>
              <w:t>1</w:t>
            </w:r>
            <w:r>
              <w:t>5</w:t>
            </w:r>
          </w:p>
        </w:tc>
        <w:tc>
          <w:tcPr>
            <w:tcW w:w="1667" w:type="pct"/>
          </w:tcPr>
          <w:p w14:paraId="463B8BBA" w14:textId="77777777" w:rsidR="00B16EC1" w:rsidRDefault="00B16EC1" w:rsidP="00AF16D6">
            <w:pPr>
              <w:pStyle w:val="BodyText"/>
            </w:pPr>
            <w:r>
              <w:t>0</w:t>
            </w:r>
          </w:p>
        </w:tc>
      </w:tr>
      <w:tr w:rsidR="00B16EC1" w14:paraId="2E9D9462" w14:textId="77777777" w:rsidTr="009C7A15">
        <w:tc>
          <w:tcPr>
            <w:tcW w:w="1666" w:type="pct"/>
          </w:tcPr>
          <w:p w14:paraId="562CA9C0" w14:textId="77777777" w:rsidR="00B16EC1" w:rsidRPr="00AF16D6" w:rsidRDefault="00B16EC1" w:rsidP="00AF16D6">
            <w:pPr>
              <w:pStyle w:val="BodyText"/>
              <w:rPr>
                <w:b/>
                <w:bCs w:val="0"/>
              </w:rPr>
            </w:pPr>
            <w:r w:rsidRPr="00AF16D6">
              <w:rPr>
                <w:b/>
                <w:bCs w:val="0"/>
              </w:rPr>
              <w:t>Implants</w:t>
            </w:r>
          </w:p>
        </w:tc>
        <w:tc>
          <w:tcPr>
            <w:tcW w:w="1666" w:type="pct"/>
          </w:tcPr>
          <w:p w14:paraId="0A791EAB" w14:textId="6F2497D7" w:rsidR="00B16EC1" w:rsidRDefault="00B16EC1" w:rsidP="00AF16D6">
            <w:pPr>
              <w:pStyle w:val="BodyText"/>
            </w:pPr>
            <w:r>
              <w:t>10</w:t>
            </w:r>
          </w:p>
        </w:tc>
        <w:tc>
          <w:tcPr>
            <w:tcW w:w="1667" w:type="pct"/>
          </w:tcPr>
          <w:p w14:paraId="639A3985" w14:textId="1EB5AA59" w:rsidR="00B16EC1" w:rsidRDefault="00B16EC1" w:rsidP="00AF16D6">
            <w:pPr>
              <w:pStyle w:val="BodyText"/>
            </w:pPr>
            <w:r>
              <w:t>5</w:t>
            </w:r>
          </w:p>
        </w:tc>
      </w:tr>
      <w:tr w:rsidR="00B16EC1" w14:paraId="0C0A409E" w14:textId="77777777" w:rsidTr="009C7A15">
        <w:tc>
          <w:tcPr>
            <w:tcW w:w="1666" w:type="pct"/>
          </w:tcPr>
          <w:p w14:paraId="6E52511C" w14:textId="77777777" w:rsidR="00B16EC1" w:rsidRPr="00AF16D6" w:rsidRDefault="00B16EC1" w:rsidP="00AF16D6">
            <w:pPr>
              <w:pStyle w:val="BodyText"/>
              <w:rPr>
                <w:b/>
                <w:bCs w:val="0"/>
              </w:rPr>
            </w:pPr>
            <w:r w:rsidRPr="00AF16D6">
              <w:rPr>
                <w:b/>
                <w:bCs w:val="0"/>
              </w:rPr>
              <w:t>Injections</w:t>
            </w:r>
          </w:p>
        </w:tc>
        <w:tc>
          <w:tcPr>
            <w:tcW w:w="1666" w:type="pct"/>
          </w:tcPr>
          <w:p w14:paraId="66FE9362" w14:textId="4C1253F8" w:rsidR="00B16EC1" w:rsidRDefault="00B16EC1" w:rsidP="00AF16D6">
            <w:pPr>
              <w:pStyle w:val="BodyText"/>
            </w:pPr>
            <w:r>
              <w:t>9</w:t>
            </w:r>
          </w:p>
        </w:tc>
        <w:tc>
          <w:tcPr>
            <w:tcW w:w="1667" w:type="pct"/>
          </w:tcPr>
          <w:p w14:paraId="4F690C50" w14:textId="650F93DB" w:rsidR="00B16EC1" w:rsidRDefault="00B16EC1" w:rsidP="00AF16D6">
            <w:pPr>
              <w:pStyle w:val="BodyText"/>
            </w:pPr>
            <w:r>
              <w:t>6</w:t>
            </w:r>
          </w:p>
        </w:tc>
      </w:tr>
      <w:tr w:rsidR="00B16EC1" w14:paraId="447CD133" w14:textId="77777777" w:rsidTr="009C7A15">
        <w:tc>
          <w:tcPr>
            <w:tcW w:w="1666" w:type="pct"/>
          </w:tcPr>
          <w:p w14:paraId="005DA1ED" w14:textId="77777777" w:rsidR="00B16EC1" w:rsidRPr="00AF16D6" w:rsidRDefault="00B16EC1" w:rsidP="00AF16D6">
            <w:pPr>
              <w:pStyle w:val="BodyText"/>
              <w:rPr>
                <w:b/>
                <w:bCs w:val="0"/>
              </w:rPr>
            </w:pPr>
            <w:r w:rsidRPr="00AF16D6">
              <w:rPr>
                <w:b/>
                <w:bCs w:val="0"/>
              </w:rPr>
              <w:t>IUDs</w:t>
            </w:r>
          </w:p>
        </w:tc>
        <w:tc>
          <w:tcPr>
            <w:tcW w:w="1666" w:type="pct"/>
          </w:tcPr>
          <w:p w14:paraId="2319C13D" w14:textId="1A49640A" w:rsidR="00B16EC1" w:rsidRDefault="00B16EC1" w:rsidP="00AF16D6">
            <w:pPr>
              <w:pStyle w:val="BodyText"/>
            </w:pPr>
            <w:r>
              <w:t>8</w:t>
            </w:r>
          </w:p>
        </w:tc>
        <w:tc>
          <w:tcPr>
            <w:tcW w:w="1667" w:type="pct"/>
          </w:tcPr>
          <w:p w14:paraId="2E170739" w14:textId="79674D08" w:rsidR="00B16EC1" w:rsidRDefault="00B16EC1" w:rsidP="00AF16D6">
            <w:pPr>
              <w:pStyle w:val="BodyText"/>
            </w:pPr>
            <w:r>
              <w:t>7</w:t>
            </w:r>
          </w:p>
        </w:tc>
      </w:tr>
      <w:tr w:rsidR="00B16EC1" w14:paraId="29C07B8E" w14:textId="77777777" w:rsidTr="009C7A15">
        <w:tc>
          <w:tcPr>
            <w:tcW w:w="1666" w:type="pct"/>
          </w:tcPr>
          <w:p w14:paraId="037273EA" w14:textId="77777777" w:rsidR="00B16EC1" w:rsidRPr="00AF16D6" w:rsidRDefault="00B16EC1" w:rsidP="00AF16D6">
            <w:pPr>
              <w:pStyle w:val="BodyText"/>
              <w:rPr>
                <w:b/>
                <w:bCs w:val="0"/>
              </w:rPr>
            </w:pPr>
            <w:r w:rsidRPr="00AF16D6">
              <w:rPr>
                <w:b/>
                <w:bCs w:val="0"/>
              </w:rPr>
              <w:t>Pills</w:t>
            </w:r>
          </w:p>
        </w:tc>
        <w:tc>
          <w:tcPr>
            <w:tcW w:w="1666" w:type="pct"/>
          </w:tcPr>
          <w:p w14:paraId="58D57813" w14:textId="10C92210" w:rsidR="00B16EC1" w:rsidRDefault="00B16EC1" w:rsidP="00AF16D6">
            <w:pPr>
              <w:pStyle w:val="BodyText"/>
            </w:pPr>
            <w:r>
              <w:t>1</w:t>
            </w:r>
            <w:r>
              <w:t>5</w:t>
            </w:r>
          </w:p>
        </w:tc>
        <w:tc>
          <w:tcPr>
            <w:tcW w:w="1667" w:type="pct"/>
          </w:tcPr>
          <w:p w14:paraId="106C6738" w14:textId="77777777" w:rsidR="00B16EC1" w:rsidRDefault="00B16EC1" w:rsidP="00AF16D6">
            <w:pPr>
              <w:pStyle w:val="BodyText"/>
            </w:pPr>
            <w:r>
              <w:t>0</w:t>
            </w:r>
          </w:p>
        </w:tc>
      </w:tr>
      <w:tr w:rsidR="00B16EC1" w14:paraId="1B6FFF5A" w14:textId="77777777" w:rsidTr="009C7A15">
        <w:tc>
          <w:tcPr>
            <w:tcW w:w="1666" w:type="pct"/>
          </w:tcPr>
          <w:p w14:paraId="5850B081" w14:textId="77777777" w:rsidR="00B16EC1" w:rsidRPr="00AF16D6" w:rsidRDefault="00B16EC1" w:rsidP="00AF16D6">
            <w:pPr>
              <w:pStyle w:val="BodyText"/>
              <w:rPr>
                <w:b/>
                <w:bCs w:val="0"/>
              </w:rPr>
            </w:pPr>
            <w:r w:rsidRPr="00AF16D6">
              <w:rPr>
                <w:b/>
                <w:bCs w:val="0"/>
              </w:rPr>
              <w:t>MTOP</w:t>
            </w:r>
          </w:p>
        </w:tc>
        <w:tc>
          <w:tcPr>
            <w:tcW w:w="1666" w:type="pct"/>
          </w:tcPr>
          <w:p w14:paraId="2A902E5D" w14:textId="3A5AAC82" w:rsidR="00B16EC1" w:rsidRDefault="00B16EC1" w:rsidP="00AF16D6">
            <w:pPr>
              <w:pStyle w:val="BodyText"/>
            </w:pPr>
            <w:r>
              <w:t>3</w:t>
            </w:r>
          </w:p>
        </w:tc>
        <w:tc>
          <w:tcPr>
            <w:tcW w:w="1667" w:type="pct"/>
          </w:tcPr>
          <w:p w14:paraId="784F7608" w14:textId="57E432FE" w:rsidR="00B16EC1" w:rsidRDefault="00B16EC1" w:rsidP="00AF16D6">
            <w:pPr>
              <w:pStyle w:val="BodyText"/>
            </w:pPr>
            <w:r>
              <w:t>1</w:t>
            </w:r>
            <w:r>
              <w:t>2</w:t>
            </w:r>
          </w:p>
        </w:tc>
      </w:tr>
    </w:tbl>
    <w:p w14:paraId="1D1EC184" w14:textId="58B9DC28" w:rsidR="00B16EC1" w:rsidRDefault="00B16EC1" w:rsidP="00B16EC1">
      <w:pPr>
        <w:pStyle w:val="paragraph"/>
        <w:spacing w:before="0" w:beforeAutospacing="0" w:after="0" w:afterAutospacing="0"/>
        <w:textAlignment w:val="baseline"/>
        <w:rPr>
          <w:rFonts w:ascii="Segoe UI" w:hAnsi="Segoe UI" w:cs="Segoe UI"/>
          <w:sz w:val="21"/>
          <w:szCs w:val="21"/>
        </w:rPr>
      </w:pPr>
    </w:p>
    <w:p w14:paraId="0786DE1F" w14:textId="77777777" w:rsidR="00AF16D6" w:rsidRDefault="00AF16D6">
      <w:pPr>
        <w:rPr>
          <w:rStyle w:val="normaltextrun"/>
          <w:rFonts w:ascii="Poppins" w:eastAsia="Poppins Light" w:hAnsi="Poppins" w:cs="Poppins"/>
          <w:b/>
          <w:noProof/>
          <w:color w:val="5F5F5F" w:themeColor="text2"/>
          <w:sz w:val="22"/>
          <w:szCs w:val="22"/>
          <w:shd w:val="clear" w:color="auto" w:fill="FFFFFF"/>
          <w:lang w:val="en-NZ"/>
        </w:rPr>
      </w:pPr>
      <w:r>
        <w:rPr>
          <w:rStyle w:val="normaltextrun"/>
        </w:rPr>
        <w:br w:type="page"/>
      </w:r>
    </w:p>
    <w:p w14:paraId="4C508D1A" w14:textId="3F5052D7" w:rsidR="00B16EC1" w:rsidRPr="00B16EC1" w:rsidRDefault="00B16EC1" w:rsidP="00AF16D6">
      <w:pPr>
        <w:pStyle w:val="Heading4"/>
      </w:pPr>
      <w:r w:rsidRPr="00B16EC1">
        <w:rPr>
          <w:rStyle w:val="normaltextrun"/>
        </w:rPr>
        <w:lastRenderedPageBreak/>
        <w:t>Hume </w:t>
      </w:r>
      <w:r w:rsidRPr="00B16EC1">
        <w:rPr>
          <w:rStyle w:val="eop"/>
        </w:rPr>
        <w:t> </w:t>
      </w:r>
    </w:p>
    <w:p w14:paraId="4941EDCB" w14:textId="0DA123B0" w:rsidR="00B16EC1" w:rsidRPr="00B16EC1" w:rsidRDefault="00B16EC1" w:rsidP="00B16EC1">
      <w:pPr>
        <w:pStyle w:val="paragraph"/>
        <w:spacing w:before="0" w:beforeAutospacing="0" w:after="0" w:afterAutospacing="0"/>
        <w:textAlignment w:val="baseline"/>
        <w:rPr>
          <w:rFonts w:ascii="Segoe UI" w:hAnsi="Segoe UI" w:cs="Segoe UI"/>
          <w:sz w:val="21"/>
          <w:szCs w:val="21"/>
        </w:rPr>
      </w:pPr>
      <w:r w:rsidRPr="00B16EC1">
        <w:rPr>
          <w:rStyle w:val="normaltextrun"/>
          <w:rFonts w:ascii="Poppins" w:hAnsi="Poppins" w:cs="Poppins"/>
          <w:sz w:val="22"/>
          <w:szCs w:val="22"/>
        </w:rPr>
        <w:t>The response rate for Hume was 37% (n= 41). All pharmacies stocked contraceptive pills and ECP, but no pharmacies stocked dental dams. Of respondents, only two stated they stocked MTOP medication. </w:t>
      </w:r>
      <w:r w:rsidRPr="00B16EC1">
        <w:rPr>
          <w:rStyle w:val="eop"/>
          <w:rFonts w:ascii="Poppins" w:hAnsi="Poppins" w:cs="Poppins"/>
          <w:sz w:val="22"/>
          <w:szCs w:val="22"/>
        </w:rPr>
        <w:t> </w:t>
      </w:r>
    </w:p>
    <w:p w14:paraId="4976B25C" w14:textId="66B1E60F" w:rsidR="00B16EC1" w:rsidRPr="00B16EC1" w:rsidRDefault="00B16EC1" w:rsidP="00AF16D6">
      <w:pPr>
        <w:pStyle w:val="BodyText"/>
        <w:rPr>
          <w:rStyle w:val="eop"/>
          <w:b/>
          <w:bCs w:val="0"/>
          <w:sz w:val="28"/>
          <w:szCs w:val="28"/>
        </w:rPr>
      </w:pPr>
      <w:r w:rsidRPr="0071768F">
        <w:rPr>
          <w:rStyle w:val="eop"/>
          <w:b/>
          <w:bCs w:val="0"/>
        </w:rPr>
        <w:t xml:space="preserve">Table </w:t>
      </w:r>
      <w:r>
        <w:rPr>
          <w:rStyle w:val="eop"/>
          <w:b/>
          <w:bCs w:val="0"/>
        </w:rPr>
        <w:t>5</w:t>
      </w:r>
      <w:r w:rsidRPr="0071768F">
        <w:rPr>
          <w:rStyle w:val="eop"/>
          <w:b/>
          <w:bCs w:val="0"/>
        </w:rPr>
        <w:t xml:space="preserve">. Sexual and reproductive health phramaceuticals stocked </w:t>
      </w:r>
      <w:r>
        <w:rPr>
          <w:rStyle w:val="eop"/>
          <w:b/>
          <w:bCs w:val="0"/>
        </w:rPr>
        <w:t xml:space="preserve">in the City of </w:t>
      </w:r>
      <w:r>
        <w:rPr>
          <w:rStyle w:val="eop"/>
          <w:b/>
          <w:bCs w:val="0"/>
        </w:rPr>
        <w:t xml:space="preserve">Hume. </w:t>
      </w:r>
      <w:r>
        <w:rPr>
          <w:rStyle w:val="eop"/>
          <w:b/>
          <w:bCs w:val="0"/>
        </w:rPr>
        <w:t xml:space="preserve"> </w:t>
      </w:r>
    </w:p>
    <w:tbl>
      <w:tblPr>
        <w:tblStyle w:val="TableGrid"/>
        <w:tblW w:w="5000" w:type="pct"/>
        <w:tblLook w:val="04A0" w:firstRow="1" w:lastRow="0" w:firstColumn="1" w:lastColumn="0" w:noHBand="0" w:noVBand="1"/>
      </w:tblPr>
      <w:tblGrid>
        <w:gridCol w:w="3243"/>
        <w:gridCol w:w="3243"/>
        <w:gridCol w:w="3244"/>
      </w:tblGrid>
      <w:tr w:rsidR="00B16EC1" w:rsidRPr="0000496A" w14:paraId="22B4A96A" w14:textId="77777777" w:rsidTr="009C7A15">
        <w:tc>
          <w:tcPr>
            <w:tcW w:w="1666" w:type="pct"/>
          </w:tcPr>
          <w:p w14:paraId="69A5604A" w14:textId="77777777" w:rsidR="00B16EC1" w:rsidRPr="00AF16D6" w:rsidRDefault="00B16EC1" w:rsidP="00AF16D6">
            <w:pPr>
              <w:pStyle w:val="BodyText"/>
              <w:rPr>
                <w:b/>
                <w:bCs w:val="0"/>
              </w:rPr>
            </w:pPr>
            <w:r w:rsidRPr="00AF16D6">
              <w:rPr>
                <w:b/>
                <w:bCs w:val="0"/>
              </w:rPr>
              <w:t>Pharmaceutical</w:t>
            </w:r>
          </w:p>
        </w:tc>
        <w:tc>
          <w:tcPr>
            <w:tcW w:w="1666" w:type="pct"/>
          </w:tcPr>
          <w:p w14:paraId="086BF42B" w14:textId="77777777" w:rsidR="00B16EC1" w:rsidRPr="00AF16D6" w:rsidRDefault="00B16EC1" w:rsidP="00AF16D6">
            <w:pPr>
              <w:pStyle w:val="BodyText"/>
              <w:rPr>
                <w:b/>
                <w:bCs w:val="0"/>
              </w:rPr>
            </w:pPr>
            <w:r w:rsidRPr="00AF16D6">
              <w:rPr>
                <w:b/>
                <w:bCs w:val="0"/>
              </w:rPr>
              <w:t>Yes</w:t>
            </w:r>
          </w:p>
        </w:tc>
        <w:tc>
          <w:tcPr>
            <w:tcW w:w="1667" w:type="pct"/>
          </w:tcPr>
          <w:p w14:paraId="3082BDB6" w14:textId="77777777" w:rsidR="00B16EC1" w:rsidRPr="00AF16D6" w:rsidRDefault="00B16EC1" w:rsidP="00AF16D6">
            <w:pPr>
              <w:pStyle w:val="BodyText"/>
              <w:rPr>
                <w:b/>
                <w:bCs w:val="0"/>
              </w:rPr>
            </w:pPr>
            <w:r w:rsidRPr="00AF16D6">
              <w:rPr>
                <w:b/>
                <w:bCs w:val="0"/>
              </w:rPr>
              <w:t>No</w:t>
            </w:r>
          </w:p>
        </w:tc>
      </w:tr>
      <w:tr w:rsidR="00B16EC1" w14:paraId="5D64C372" w14:textId="77777777" w:rsidTr="009C7A15">
        <w:tc>
          <w:tcPr>
            <w:tcW w:w="1666" w:type="pct"/>
          </w:tcPr>
          <w:p w14:paraId="07D40720" w14:textId="77777777" w:rsidR="00B16EC1" w:rsidRPr="00AF16D6" w:rsidRDefault="00B16EC1" w:rsidP="00AF16D6">
            <w:pPr>
              <w:pStyle w:val="BodyText"/>
              <w:rPr>
                <w:b/>
                <w:bCs w:val="0"/>
              </w:rPr>
            </w:pPr>
            <w:r w:rsidRPr="00AF16D6">
              <w:rPr>
                <w:b/>
                <w:bCs w:val="0"/>
              </w:rPr>
              <w:t>Dental dams</w:t>
            </w:r>
          </w:p>
        </w:tc>
        <w:tc>
          <w:tcPr>
            <w:tcW w:w="1666" w:type="pct"/>
          </w:tcPr>
          <w:p w14:paraId="6C221244" w14:textId="77777777" w:rsidR="00B16EC1" w:rsidRDefault="00B16EC1" w:rsidP="00AF16D6">
            <w:pPr>
              <w:pStyle w:val="BodyText"/>
            </w:pPr>
            <w:r>
              <w:t>0</w:t>
            </w:r>
          </w:p>
        </w:tc>
        <w:tc>
          <w:tcPr>
            <w:tcW w:w="1667" w:type="pct"/>
          </w:tcPr>
          <w:p w14:paraId="7223AB05" w14:textId="77777777" w:rsidR="00B16EC1" w:rsidRDefault="00B16EC1" w:rsidP="00AF16D6">
            <w:pPr>
              <w:pStyle w:val="BodyText"/>
            </w:pPr>
            <w:r>
              <w:t>15</w:t>
            </w:r>
          </w:p>
        </w:tc>
      </w:tr>
      <w:tr w:rsidR="00B16EC1" w14:paraId="4CA5DCEF" w14:textId="77777777" w:rsidTr="009C7A15">
        <w:tc>
          <w:tcPr>
            <w:tcW w:w="1666" w:type="pct"/>
          </w:tcPr>
          <w:p w14:paraId="7DAAC427" w14:textId="77777777" w:rsidR="00B16EC1" w:rsidRPr="00AF16D6" w:rsidRDefault="00B16EC1" w:rsidP="00AF16D6">
            <w:pPr>
              <w:pStyle w:val="BodyText"/>
              <w:rPr>
                <w:b/>
                <w:bCs w:val="0"/>
              </w:rPr>
            </w:pPr>
            <w:r w:rsidRPr="00AF16D6">
              <w:rPr>
                <w:b/>
                <w:bCs w:val="0"/>
              </w:rPr>
              <w:t>ECP</w:t>
            </w:r>
          </w:p>
        </w:tc>
        <w:tc>
          <w:tcPr>
            <w:tcW w:w="1666" w:type="pct"/>
          </w:tcPr>
          <w:p w14:paraId="1B3400E9" w14:textId="77777777" w:rsidR="00B16EC1" w:rsidRDefault="00B16EC1" w:rsidP="00AF16D6">
            <w:pPr>
              <w:pStyle w:val="BodyText"/>
            </w:pPr>
            <w:r>
              <w:t>15</w:t>
            </w:r>
          </w:p>
        </w:tc>
        <w:tc>
          <w:tcPr>
            <w:tcW w:w="1667" w:type="pct"/>
          </w:tcPr>
          <w:p w14:paraId="35139E1F" w14:textId="77777777" w:rsidR="00B16EC1" w:rsidRDefault="00B16EC1" w:rsidP="00AF16D6">
            <w:pPr>
              <w:pStyle w:val="BodyText"/>
            </w:pPr>
            <w:r>
              <w:t>0</w:t>
            </w:r>
          </w:p>
        </w:tc>
      </w:tr>
      <w:tr w:rsidR="00B16EC1" w14:paraId="40B61BC7" w14:textId="77777777" w:rsidTr="009C7A15">
        <w:tc>
          <w:tcPr>
            <w:tcW w:w="1666" w:type="pct"/>
          </w:tcPr>
          <w:p w14:paraId="12199638" w14:textId="77777777" w:rsidR="00B16EC1" w:rsidRPr="00AF16D6" w:rsidRDefault="00B16EC1" w:rsidP="00AF16D6">
            <w:pPr>
              <w:pStyle w:val="BodyText"/>
              <w:rPr>
                <w:b/>
                <w:bCs w:val="0"/>
              </w:rPr>
            </w:pPr>
            <w:r w:rsidRPr="00AF16D6">
              <w:rPr>
                <w:b/>
                <w:bCs w:val="0"/>
              </w:rPr>
              <w:t>Implants</w:t>
            </w:r>
          </w:p>
        </w:tc>
        <w:tc>
          <w:tcPr>
            <w:tcW w:w="1666" w:type="pct"/>
          </w:tcPr>
          <w:p w14:paraId="7AA48A34" w14:textId="43210CE3" w:rsidR="00B16EC1" w:rsidRDefault="00B16EC1" w:rsidP="00AF16D6">
            <w:pPr>
              <w:pStyle w:val="BodyText"/>
            </w:pPr>
            <w:r>
              <w:t>1</w:t>
            </w:r>
            <w:r>
              <w:t>4</w:t>
            </w:r>
          </w:p>
        </w:tc>
        <w:tc>
          <w:tcPr>
            <w:tcW w:w="1667" w:type="pct"/>
          </w:tcPr>
          <w:p w14:paraId="1556DF02" w14:textId="7E20FCAB" w:rsidR="00B16EC1" w:rsidRDefault="00B16EC1" w:rsidP="00AF16D6">
            <w:pPr>
              <w:pStyle w:val="BodyText"/>
            </w:pPr>
            <w:r>
              <w:t>1</w:t>
            </w:r>
          </w:p>
        </w:tc>
      </w:tr>
      <w:tr w:rsidR="00B16EC1" w14:paraId="0ECAC92F" w14:textId="77777777" w:rsidTr="009C7A15">
        <w:tc>
          <w:tcPr>
            <w:tcW w:w="1666" w:type="pct"/>
          </w:tcPr>
          <w:p w14:paraId="25548925" w14:textId="77777777" w:rsidR="00B16EC1" w:rsidRPr="00AF16D6" w:rsidRDefault="00B16EC1" w:rsidP="00AF16D6">
            <w:pPr>
              <w:pStyle w:val="BodyText"/>
              <w:rPr>
                <w:b/>
                <w:bCs w:val="0"/>
              </w:rPr>
            </w:pPr>
            <w:r w:rsidRPr="00AF16D6">
              <w:rPr>
                <w:b/>
                <w:bCs w:val="0"/>
              </w:rPr>
              <w:t>Injections</w:t>
            </w:r>
          </w:p>
        </w:tc>
        <w:tc>
          <w:tcPr>
            <w:tcW w:w="1666" w:type="pct"/>
          </w:tcPr>
          <w:p w14:paraId="371E20D7" w14:textId="13206FEC" w:rsidR="00B16EC1" w:rsidRDefault="00B16EC1" w:rsidP="00AF16D6">
            <w:pPr>
              <w:pStyle w:val="BodyText"/>
            </w:pPr>
            <w:r>
              <w:t>13</w:t>
            </w:r>
          </w:p>
        </w:tc>
        <w:tc>
          <w:tcPr>
            <w:tcW w:w="1667" w:type="pct"/>
          </w:tcPr>
          <w:p w14:paraId="19DEAE20" w14:textId="1AE451B1" w:rsidR="00B16EC1" w:rsidRDefault="00B16EC1" w:rsidP="00AF16D6">
            <w:pPr>
              <w:pStyle w:val="BodyText"/>
            </w:pPr>
            <w:r>
              <w:t>2</w:t>
            </w:r>
          </w:p>
        </w:tc>
      </w:tr>
      <w:tr w:rsidR="00B16EC1" w14:paraId="535115D0" w14:textId="77777777" w:rsidTr="009C7A15">
        <w:tc>
          <w:tcPr>
            <w:tcW w:w="1666" w:type="pct"/>
          </w:tcPr>
          <w:p w14:paraId="1494D576" w14:textId="77777777" w:rsidR="00B16EC1" w:rsidRPr="00AF16D6" w:rsidRDefault="00B16EC1" w:rsidP="00AF16D6">
            <w:pPr>
              <w:pStyle w:val="BodyText"/>
              <w:rPr>
                <w:b/>
                <w:bCs w:val="0"/>
              </w:rPr>
            </w:pPr>
            <w:r w:rsidRPr="00AF16D6">
              <w:rPr>
                <w:b/>
                <w:bCs w:val="0"/>
              </w:rPr>
              <w:t>IUDs</w:t>
            </w:r>
          </w:p>
        </w:tc>
        <w:tc>
          <w:tcPr>
            <w:tcW w:w="1666" w:type="pct"/>
          </w:tcPr>
          <w:p w14:paraId="2CCDCAFD" w14:textId="086E1939" w:rsidR="00B16EC1" w:rsidRDefault="00B16EC1" w:rsidP="00AF16D6">
            <w:pPr>
              <w:pStyle w:val="BodyText"/>
            </w:pPr>
            <w:r>
              <w:t>13</w:t>
            </w:r>
          </w:p>
        </w:tc>
        <w:tc>
          <w:tcPr>
            <w:tcW w:w="1667" w:type="pct"/>
          </w:tcPr>
          <w:p w14:paraId="6DF10B72" w14:textId="2602EDF7" w:rsidR="00B16EC1" w:rsidRDefault="00B16EC1" w:rsidP="00AF16D6">
            <w:pPr>
              <w:pStyle w:val="BodyText"/>
            </w:pPr>
            <w:r>
              <w:t>2</w:t>
            </w:r>
          </w:p>
        </w:tc>
      </w:tr>
      <w:tr w:rsidR="00B16EC1" w14:paraId="64EB7BDF" w14:textId="77777777" w:rsidTr="009C7A15">
        <w:tc>
          <w:tcPr>
            <w:tcW w:w="1666" w:type="pct"/>
          </w:tcPr>
          <w:p w14:paraId="68BEC113" w14:textId="77777777" w:rsidR="00B16EC1" w:rsidRPr="00AF16D6" w:rsidRDefault="00B16EC1" w:rsidP="00AF16D6">
            <w:pPr>
              <w:pStyle w:val="BodyText"/>
              <w:rPr>
                <w:b/>
                <w:bCs w:val="0"/>
              </w:rPr>
            </w:pPr>
            <w:r w:rsidRPr="00AF16D6">
              <w:rPr>
                <w:b/>
                <w:bCs w:val="0"/>
              </w:rPr>
              <w:t>Pills</w:t>
            </w:r>
          </w:p>
        </w:tc>
        <w:tc>
          <w:tcPr>
            <w:tcW w:w="1666" w:type="pct"/>
          </w:tcPr>
          <w:p w14:paraId="7901E10C" w14:textId="77777777" w:rsidR="00B16EC1" w:rsidRDefault="00B16EC1" w:rsidP="00AF16D6">
            <w:pPr>
              <w:pStyle w:val="BodyText"/>
            </w:pPr>
            <w:r>
              <w:t>15</w:t>
            </w:r>
          </w:p>
        </w:tc>
        <w:tc>
          <w:tcPr>
            <w:tcW w:w="1667" w:type="pct"/>
          </w:tcPr>
          <w:p w14:paraId="58237FD2" w14:textId="77777777" w:rsidR="00B16EC1" w:rsidRDefault="00B16EC1" w:rsidP="00AF16D6">
            <w:pPr>
              <w:pStyle w:val="BodyText"/>
            </w:pPr>
            <w:r>
              <w:t>0</w:t>
            </w:r>
          </w:p>
        </w:tc>
      </w:tr>
      <w:tr w:rsidR="00B16EC1" w14:paraId="61DAECD9" w14:textId="77777777" w:rsidTr="009C7A15">
        <w:tc>
          <w:tcPr>
            <w:tcW w:w="1666" w:type="pct"/>
          </w:tcPr>
          <w:p w14:paraId="38FBF906" w14:textId="77777777" w:rsidR="00B16EC1" w:rsidRPr="00AF16D6" w:rsidRDefault="00B16EC1" w:rsidP="00AF16D6">
            <w:pPr>
              <w:pStyle w:val="BodyText"/>
              <w:rPr>
                <w:b/>
                <w:bCs w:val="0"/>
              </w:rPr>
            </w:pPr>
            <w:r w:rsidRPr="00AF16D6">
              <w:rPr>
                <w:b/>
                <w:bCs w:val="0"/>
              </w:rPr>
              <w:t>MTOP</w:t>
            </w:r>
          </w:p>
        </w:tc>
        <w:tc>
          <w:tcPr>
            <w:tcW w:w="1666" w:type="pct"/>
          </w:tcPr>
          <w:p w14:paraId="358D1AF2" w14:textId="344DEA81" w:rsidR="00B16EC1" w:rsidRDefault="00B16EC1" w:rsidP="00AF16D6">
            <w:pPr>
              <w:pStyle w:val="BodyText"/>
            </w:pPr>
            <w:r>
              <w:t>2</w:t>
            </w:r>
          </w:p>
        </w:tc>
        <w:tc>
          <w:tcPr>
            <w:tcW w:w="1667" w:type="pct"/>
          </w:tcPr>
          <w:p w14:paraId="014F7F7F" w14:textId="6795D257" w:rsidR="00B16EC1" w:rsidRDefault="00B16EC1" w:rsidP="00AF16D6">
            <w:pPr>
              <w:pStyle w:val="BodyText"/>
            </w:pPr>
            <w:r>
              <w:t>1</w:t>
            </w:r>
            <w:r>
              <w:t>3</w:t>
            </w:r>
          </w:p>
        </w:tc>
      </w:tr>
    </w:tbl>
    <w:p w14:paraId="014C6C4D" w14:textId="26BD2623" w:rsidR="00B16EC1" w:rsidRDefault="00B16EC1" w:rsidP="00B16EC1">
      <w:pPr>
        <w:pStyle w:val="paragraph"/>
        <w:spacing w:before="0" w:beforeAutospacing="0" w:after="0" w:afterAutospacing="0"/>
        <w:textAlignment w:val="baseline"/>
        <w:rPr>
          <w:rFonts w:ascii="Segoe UI" w:hAnsi="Segoe UI" w:cs="Segoe UI"/>
          <w:sz w:val="18"/>
          <w:szCs w:val="18"/>
        </w:rPr>
      </w:pPr>
    </w:p>
    <w:p w14:paraId="20A0E6B7" w14:textId="77777777" w:rsidR="00AF16D6" w:rsidRDefault="00AF16D6">
      <w:pPr>
        <w:rPr>
          <w:rStyle w:val="Heading4Char"/>
          <w:rFonts w:ascii="Poppins" w:eastAsia="Poppins Light" w:hAnsi="Poppins" w:cs="Poppins"/>
        </w:rPr>
      </w:pPr>
      <w:r>
        <w:rPr>
          <w:rStyle w:val="Heading4Char"/>
          <w:rFonts w:ascii="Poppins" w:eastAsia="Poppins Light" w:hAnsi="Poppins" w:cs="Poppins"/>
        </w:rPr>
        <w:br w:type="page"/>
      </w:r>
    </w:p>
    <w:p w14:paraId="6D3FD454" w14:textId="5C0400D6" w:rsidR="00B16EC1" w:rsidRPr="00B16EC1" w:rsidRDefault="00B16EC1" w:rsidP="00B16EC1">
      <w:pPr>
        <w:pStyle w:val="paragraph"/>
        <w:spacing w:before="0" w:beforeAutospacing="0" w:after="0" w:afterAutospacing="0"/>
        <w:textAlignment w:val="baseline"/>
        <w:rPr>
          <w:rStyle w:val="BodyTextChar"/>
        </w:rPr>
      </w:pPr>
      <w:r w:rsidRPr="00B16EC1">
        <w:rPr>
          <w:rStyle w:val="Heading4Char"/>
          <w:rFonts w:ascii="Poppins" w:eastAsia="Poppins Light" w:hAnsi="Poppins" w:cs="Poppins"/>
        </w:rPr>
        <w:lastRenderedPageBreak/>
        <w:t>Merri-</w:t>
      </w:r>
      <w:proofErr w:type="spellStart"/>
      <w:r w:rsidRPr="00B16EC1">
        <w:rPr>
          <w:rStyle w:val="Heading4Char"/>
          <w:rFonts w:ascii="Poppins" w:eastAsia="Poppins Light" w:hAnsi="Poppins" w:cs="Poppins"/>
        </w:rPr>
        <w:t>bek</w:t>
      </w:r>
      <w:proofErr w:type="spellEnd"/>
      <w:r>
        <w:rPr>
          <w:rStyle w:val="scxw86717349"/>
          <w:rFonts w:ascii="Poppins" w:hAnsi="Poppins" w:cs="Poppins"/>
          <w:color w:val="000000"/>
          <w:shd w:val="clear" w:color="auto" w:fill="FFFFFF"/>
        </w:rPr>
        <w:t> </w:t>
      </w:r>
      <w:r>
        <w:rPr>
          <w:rFonts w:ascii="Poppins" w:hAnsi="Poppins" w:cs="Poppins"/>
          <w:color w:val="000000"/>
          <w:sz w:val="22"/>
          <w:szCs w:val="22"/>
          <w:shd w:val="clear" w:color="auto" w:fill="FFFFFF"/>
        </w:rPr>
        <w:br/>
      </w:r>
      <w:r w:rsidRPr="00B16EC1">
        <w:rPr>
          <w:rStyle w:val="BodyTextChar"/>
        </w:rPr>
        <w:t>The response rate for Merri-bek was 20% (n=6). No responding pharmacies stocked MTOP medication or dental dams. All pharmacies stocked contraceptive pills and ECP. A large majority of pharmacies stocked contraceptive implants and IUDs and a small majority stocked contraceptive injections. One pharmacy did not report on contraceptive injections.   </w:t>
      </w:r>
    </w:p>
    <w:p w14:paraId="2E8408EE" w14:textId="07946C81" w:rsidR="00B16EC1" w:rsidRPr="00B16EC1" w:rsidRDefault="00B16EC1" w:rsidP="00AF16D6">
      <w:pPr>
        <w:pStyle w:val="BodyText"/>
        <w:rPr>
          <w:rStyle w:val="eop"/>
          <w:b/>
          <w:bCs w:val="0"/>
          <w:sz w:val="28"/>
          <w:szCs w:val="28"/>
        </w:rPr>
      </w:pPr>
      <w:r w:rsidRPr="0071768F">
        <w:rPr>
          <w:rStyle w:val="eop"/>
          <w:b/>
          <w:bCs w:val="0"/>
        </w:rPr>
        <w:t xml:space="preserve">Table </w:t>
      </w:r>
      <w:r>
        <w:rPr>
          <w:rStyle w:val="eop"/>
          <w:b/>
          <w:bCs w:val="0"/>
        </w:rPr>
        <w:t>6</w:t>
      </w:r>
      <w:r w:rsidRPr="0071768F">
        <w:rPr>
          <w:rStyle w:val="eop"/>
          <w:b/>
          <w:bCs w:val="0"/>
        </w:rPr>
        <w:t xml:space="preserve">. Sexual and reproductive health phramaceuticals stocked </w:t>
      </w:r>
      <w:r>
        <w:rPr>
          <w:rStyle w:val="eop"/>
          <w:b/>
          <w:bCs w:val="0"/>
        </w:rPr>
        <w:t xml:space="preserve">in the City of </w:t>
      </w:r>
      <w:r>
        <w:rPr>
          <w:rStyle w:val="eop"/>
          <w:b/>
          <w:bCs w:val="0"/>
        </w:rPr>
        <w:t>Merri-bek</w:t>
      </w:r>
      <w:r>
        <w:rPr>
          <w:rStyle w:val="eop"/>
          <w:b/>
          <w:bCs w:val="0"/>
        </w:rPr>
        <w:t xml:space="preserve">.  </w:t>
      </w:r>
    </w:p>
    <w:tbl>
      <w:tblPr>
        <w:tblStyle w:val="TableGrid"/>
        <w:tblW w:w="5000" w:type="pct"/>
        <w:tblLook w:val="04A0" w:firstRow="1" w:lastRow="0" w:firstColumn="1" w:lastColumn="0" w:noHBand="0" w:noVBand="1"/>
      </w:tblPr>
      <w:tblGrid>
        <w:gridCol w:w="3243"/>
        <w:gridCol w:w="3243"/>
        <w:gridCol w:w="3244"/>
      </w:tblGrid>
      <w:tr w:rsidR="00B16EC1" w:rsidRPr="0000496A" w14:paraId="3A1A4C71" w14:textId="77777777" w:rsidTr="009C7A15">
        <w:tc>
          <w:tcPr>
            <w:tcW w:w="1666" w:type="pct"/>
          </w:tcPr>
          <w:p w14:paraId="1A576A94" w14:textId="77777777" w:rsidR="00B16EC1" w:rsidRPr="00AF16D6" w:rsidRDefault="00B16EC1" w:rsidP="00AF16D6">
            <w:pPr>
              <w:pStyle w:val="BodyText"/>
              <w:rPr>
                <w:b/>
                <w:bCs w:val="0"/>
              </w:rPr>
            </w:pPr>
            <w:r w:rsidRPr="00AF16D6">
              <w:rPr>
                <w:b/>
                <w:bCs w:val="0"/>
              </w:rPr>
              <w:t>Pharmaceutical</w:t>
            </w:r>
          </w:p>
        </w:tc>
        <w:tc>
          <w:tcPr>
            <w:tcW w:w="1666" w:type="pct"/>
          </w:tcPr>
          <w:p w14:paraId="26A07A9F" w14:textId="77777777" w:rsidR="00B16EC1" w:rsidRPr="00AF16D6" w:rsidRDefault="00B16EC1" w:rsidP="00AF16D6">
            <w:pPr>
              <w:pStyle w:val="BodyText"/>
              <w:rPr>
                <w:b/>
                <w:bCs w:val="0"/>
              </w:rPr>
            </w:pPr>
            <w:r w:rsidRPr="00AF16D6">
              <w:rPr>
                <w:b/>
                <w:bCs w:val="0"/>
              </w:rPr>
              <w:t>Yes</w:t>
            </w:r>
          </w:p>
        </w:tc>
        <w:tc>
          <w:tcPr>
            <w:tcW w:w="1667" w:type="pct"/>
          </w:tcPr>
          <w:p w14:paraId="758CEAD8" w14:textId="77777777" w:rsidR="00B16EC1" w:rsidRPr="00AF16D6" w:rsidRDefault="00B16EC1" w:rsidP="00AF16D6">
            <w:pPr>
              <w:pStyle w:val="BodyText"/>
              <w:rPr>
                <w:b/>
                <w:bCs w:val="0"/>
              </w:rPr>
            </w:pPr>
            <w:r w:rsidRPr="00AF16D6">
              <w:rPr>
                <w:b/>
                <w:bCs w:val="0"/>
              </w:rPr>
              <w:t>No</w:t>
            </w:r>
          </w:p>
        </w:tc>
      </w:tr>
      <w:tr w:rsidR="00B16EC1" w14:paraId="3DEB99B2" w14:textId="77777777" w:rsidTr="009C7A15">
        <w:tc>
          <w:tcPr>
            <w:tcW w:w="1666" w:type="pct"/>
          </w:tcPr>
          <w:p w14:paraId="1DF35B27" w14:textId="77777777" w:rsidR="00B16EC1" w:rsidRPr="00AF16D6" w:rsidRDefault="00B16EC1" w:rsidP="00AF16D6">
            <w:pPr>
              <w:pStyle w:val="BodyText"/>
              <w:rPr>
                <w:b/>
                <w:bCs w:val="0"/>
              </w:rPr>
            </w:pPr>
            <w:r w:rsidRPr="00AF16D6">
              <w:rPr>
                <w:b/>
                <w:bCs w:val="0"/>
              </w:rPr>
              <w:t>Dental dams</w:t>
            </w:r>
          </w:p>
        </w:tc>
        <w:tc>
          <w:tcPr>
            <w:tcW w:w="1666" w:type="pct"/>
          </w:tcPr>
          <w:p w14:paraId="1BFCA151" w14:textId="77777777" w:rsidR="00B16EC1" w:rsidRDefault="00B16EC1" w:rsidP="00AF16D6">
            <w:pPr>
              <w:pStyle w:val="BodyText"/>
            </w:pPr>
            <w:r>
              <w:t>0</w:t>
            </w:r>
          </w:p>
        </w:tc>
        <w:tc>
          <w:tcPr>
            <w:tcW w:w="1667" w:type="pct"/>
          </w:tcPr>
          <w:p w14:paraId="45C5521A" w14:textId="0F781A17" w:rsidR="00B16EC1" w:rsidRDefault="00B16EC1" w:rsidP="00AF16D6">
            <w:pPr>
              <w:pStyle w:val="BodyText"/>
            </w:pPr>
            <w:r>
              <w:t>6</w:t>
            </w:r>
          </w:p>
        </w:tc>
      </w:tr>
      <w:tr w:rsidR="00B16EC1" w14:paraId="4314001B" w14:textId="77777777" w:rsidTr="009C7A15">
        <w:tc>
          <w:tcPr>
            <w:tcW w:w="1666" w:type="pct"/>
          </w:tcPr>
          <w:p w14:paraId="12740ADF" w14:textId="77777777" w:rsidR="00B16EC1" w:rsidRPr="00AF16D6" w:rsidRDefault="00B16EC1" w:rsidP="00AF16D6">
            <w:pPr>
              <w:pStyle w:val="BodyText"/>
              <w:rPr>
                <w:b/>
                <w:bCs w:val="0"/>
              </w:rPr>
            </w:pPr>
            <w:r w:rsidRPr="00AF16D6">
              <w:rPr>
                <w:b/>
                <w:bCs w:val="0"/>
              </w:rPr>
              <w:t>ECP</w:t>
            </w:r>
          </w:p>
        </w:tc>
        <w:tc>
          <w:tcPr>
            <w:tcW w:w="1666" w:type="pct"/>
          </w:tcPr>
          <w:p w14:paraId="08D1D240" w14:textId="6DF20099" w:rsidR="00B16EC1" w:rsidRDefault="00B16EC1" w:rsidP="00AF16D6">
            <w:pPr>
              <w:pStyle w:val="BodyText"/>
            </w:pPr>
            <w:r>
              <w:t>6</w:t>
            </w:r>
          </w:p>
        </w:tc>
        <w:tc>
          <w:tcPr>
            <w:tcW w:w="1667" w:type="pct"/>
          </w:tcPr>
          <w:p w14:paraId="747B8E6E" w14:textId="77777777" w:rsidR="00B16EC1" w:rsidRDefault="00B16EC1" w:rsidP="00AF16D6">
            <w:pPr>
              <w:pStyle w:val="BodyText"/>
            </w:pPr>
            <w:r>
              <w:t>0</w:t>
            </w:r>
          </w:p>
        </w:tc>
      </w:tr>
      <w:tr w:rsidR="00B16EC1" w14:paraId="0A79A936" w14:textId="77777777" w:rsidTr="009C7A15">
        <w:tc>
          <w:tcPr>
            <w:tcW w:w="1666" w:type="pct"/>
          </w:tcPr>
          <w:p w14:paraId="7154E63F" w14:textId="77777777" w:rsidR="00B16EC1" w:rsidRPr="00AF16D6" w:rsidRDefault="00B16EC1" w:rsidP="00AF16D6">
            <w:pPr>
              <w:pStyle w:val="BodyText"/>
              <w:rPr>
                <w:b/>
                <w:bCs w:val="0"/>
              </w:rPr>
            </w:pPr>
            <w:r w:rsidRPr="00AF16D6">
              <w:rPr>
                <w:b/>
                <w:bCs w:val="0"/>
              </w:rPr>
              <w:t>Implants</w:t>
            </w:r>
          </w:p>
        </w:tc>
        <w:tc>
          <w:tcPr>
            <w:tcW w:w="1666" w:type="pct"/>
          </w:tcPr>
          <w:p w14:paraId="6111E1F1" w14:textId="477B8E00" w:rsidR="00B16EC1" w:rsidRDefault="00B16EC1" w:rsidP="00AF16D6">
            <w:pPr>
              <w:pStyle w:val="BodyText"/>
            </w:pPr>
            <w:r>
              <w:t>5</w:t>
            </w:r>
          </w:p>
        </w:tc>
        <w:tc>
          <w:tcPr>
            <w:tcW w:w="1667" w:type="pct"/>
          </w:tcPr>
          <w:p w14:paraId="0615B97D" w14:textId="77777777" w:rsidR="00B16EC1" w:rsidRDefault="00B16EC1" w:rsidP="00AF16D6">
            <w:pPr>
              <w:pStyle w:val="BodyText"/>
            </w:pPr>
            <w:r>
              <w:t>1</w:t>
            </w:r>
          </w:p>
        </w:tc>
      </w:tr>
      <w:tr w:rsidR="00B16EC1" w14:paraId="2B0F2B39" w14:textId="77777777" w:rsidTr="009C7A15">
        <w:tc>
          <w:tcPr>
            <w:tcW w:w="1666" w:type="pct"/>
          </w:tcPr>
          <w:p w14:paraId="785D23F4" w14:textId="77777777" w:rsidR="00B16EC1" w:rsidRPr="00AF16D6" w:rsidRDefault="00B16EC1" w:rsidP="00AF16D6">
            <w:pPr>
              <w:pStyle w:val="BodyText"/>
              <w:rPr>
                <w:b/>
                <w:bCs w:val="0"/>
              </w:rPr>
            </w:pPr>
            <w:r w:rsidRPr="00AF16D6">
              <w:rPr>
                <w:b/>
                <w:bCs w:val="0"/>
              </w:rPr>
              <w:t>Injections</w:t>
            </w:r>
          </w:p>
        </w:tc>
        <w:tc>
          <w:tcPr>
            <w:tcW w:w="1666" w:type="pct"/>
          </w:tcPr>
          <w:p w14:paraId="28392F58" w14:textId="51BF395D" w:rsidR="00B16EC1" w:rsidRDefault="00B16EC1" w:rsidP="00AF16D6">
            <w:pPr>
              <w:pStyle w:val="BodyText"/>
            </w:pPr>
            <w:r>
              <w:t>3</w:t>
            </w:r>
          </w:p>
        </w:tc>
        <w:tc>
          <w:tcPr>
            <w:tcW w:w="1667" w:type="pct"/>
          </w:tcPr>
          <w:p w14:paraId="34DA056E" w14:textId="77777777" w:rsidR="00B16EC1" w:rsidRDefault="00B16EC1" w:rsidP="00AF16D6">
            <w:pPr>
              <w:pStyle w:val="BodyText"/>
            </w:pPr>
            <w:r>
              <w:t>2</w:t>
            </w:r>
          </w:p>
        </w:tc>
      </w:tr>
      <w:tr w:rsidR="00B16EC1" w14:paraId="5F8119D5" w14:textId="77777777" w:rsidTr="009C7A15">
        <w:tc>
          <w:tcPr>
            <w:tcW w:w="1666" w:type="pct"/>
          </w:tcPr>
          <w:p w14:paraId="7FF9F083" w14:textId="77777777" w:rsidR="00B16EC1" w:rsidRPr="00AF16D6" w:rsidRDefault="00B16EC1" w:rsidP="00AF16D6">
            <w:pPr>
              <w:pStyle w:val="BodyText"/>
              <w:rPr>
                <w:b/>
                <w:bCs w:val="0"/>
              </w:rPr>
            </w:pPr>
            <w:r w:rsidRPr="00AF16D6">
              <w:rPr>
                <w:b/>
                <w:bCs w:val="0"/>
              </w:rPr>
              <w:t>IUDs</w:t>
            </w:r>
          </w:p>
        </w:tc>
        <w:tc>
          <w:tcPr>
            <w:tcW w:w="1666" w:type="pct"/>
          </w:tcPr>
          <w:p w14:paraId="328CC462" w14:textId="634413D0" w:rsidR="00B16EC1" w:rsidRDefault="00B16EC1" w:rsidP="00AF16D6">
            <w:pPr>
              <w:pStyle w:val="BodyText"/>
            </w:pPr>
            <w:r>
              <w:t>5</w:t>
            </w:r>
          </w:p>
        </w:tc>
        <w:tc>
          <w:tcPr>
            <w:tcW w:w="1667" w:type="pct"/>
          </w:tcPr>
          <w:p w14:paraId="5D56A191" w14:textId="6717A620" w:rsidR="00B16EC1" w:rsidRDefault="00B16EC1" w:rsidP="00AF16D6">
            <w:pPr>
              <w:pStyle w:val="BodyText"/>
            </w:pPr>
            <w:r>
              <w:t>1</w:t>
            </w:r>
          </w:p>
        </w:tc>
      </w:tr>
      <w:tr w:rsidR="00B16EC1" w14:paraId="38FD196C" w14:textId="77777777" w:rsidTr="009C7A15">
        <w:tc>
          <w:tcPr>
            <w:tcW w:w="1666" w:type="pct"/>
          </w:tcPr>
          <w:p w14:paraId="76C8D844" w14:textId="77777777" w:rsidR="00B16EC1" w:rsidRPr="00AF16D6" w:rsidRDefault="00B16EC1" w:rsidP="00AF16D6">
            <w:pPr>
              <w:pStyle w:val="BodyText"/>
              <w:rPr>
                <w:b/>
                <w:bCs w:val="0"/>
              </w:rPr>
            </w:pPr>
            <w:r w:rsidRPr="00AF16D6">
              <w:rPr>
                <w:b/>
                <w:bCs w:val="0"/>
              </w:rPr>
              <w:t>Pills</w:t>
            </w:r>
          </w:p>
        </w:tc>
        <w:tc>
          <w:tcPr>
            <w:tcW w:w="1666" w:type="pct"/>
          </w:tcPr>
          <w:p w14:paraId="121DAB62" w14:textId="5CD04B9C" w:rsidR="00B16EC1" w:rsidRDefault="00B16EC1" w:rsidP="00AF16D6">
            <w:pPr>
              <w:pStyle w:val="BodyText"/>
            </w:pPr>
            <w:r>
              <w:t>6</w:t>
            </w:r>
          </w:p>
        </w:tc>
        <w:tc>
          <w:tcPr>
            <w:tcW w:w="1667" w:type="pct"/>
          </w:tcPr>
          <w:p w14:paraId="174479B0" w14:textId="77777777" w:rsidR="00B16EC1" w:rsidRDefault="00B16EC1" w:rsidP="00AF16D6">
            <w:pPr>
              <w:pStyle w:val="BodyText"/>
            </w:pPr>
            <w:r>
              <w:t>0</w:t>
            </w:r>
          </w:p>
        </w:tc>
      </w:tr>
      <w:tr w:rsidR="00B16EC1" w14:paraId="0829CC01" w14:textId="77777777" w:rsidTr="009C7A15">
        <w:tc>
          <w:tcPr>
            <w:tcW w:w="1666" w:type="pct"/>
          </w:tcPr>
          <w:p w14:paraId="60C51ED2" w14:textId="77777777" w:rsidR="00B16EC1" w:rsidRPr="00AF16D6" w:rsidRDefault="00B16EC1" w:rsidP="00AF16D6">
            <w:pPr>
              <w:pStyle w:val="BodyText"/>
              <w:rPr>
                <w:b/>
                <w:bCs w:val="0"/>
              </w:rPr>
            </w:pPr>
            <w:r w:rsidRPr="00AF16D6">
              <w:rPr>
                <w:b/>
                <w:bCs w:val="0"/>
              </w:rPr>
              <w:t>MTOP</w:t>
            </w:r>
          </w:p>
        </w:tc>
        <w:tc>
          <w:tcPr>
            <w:tcW w:w="1666" w:type="pct"/>
          </w:tcPr>
          <w:p w14:paraId="053C4F49" w14:textId="75EBCFF2" w:rsidR="00B16EC1" w:rsidRDefault="00B16EC1" w:rsidP="00AF16D6">
            <w:pPr>
              <w:pStyle w:val="BodyText"/>
            </w:pPr>
            <w:r>
              <w:t>0</w:t>
            </w:r>
          </w:p>
        </w:tc>
        <w:tc>
          <w:tcPr>
            <w:tcW w:w="1667" w:type="pct"/>
          </w:tcPr>
          <w:p w14:paraId="75BA53B2" w14:textId="45012D2B" w:rsidR="00B16EC1" w:rsidRDefault="00B16EC1" w:rsidP="00AF16D6">
            <w:pPr>
              <w:pStyle w:val="BodyText"/>
            </w:pPr>
            <w:r>
              <w:t>6</w:t>
            </w:r>
          </w:p>
        </w:tc>
      </w:tr>
    </w:tbl>
    <w:p w14:paraId="72AA757A" w14:textId="592EB757" w:rsidR="00B16EC1" w:rsidRDefault="00B16EC1" w:rsidP="00B16EC1">
      <w:pPr>
        <w:pStyle w:val="paragraph"/>
        <w:spacing w:before="0" w:beforeAutospacing="0" w:after="0" w:afterAutospacing="0"/>
        <w:textAlignment w:val="baseline"/>
        <w:rPr>
          <w:rFonts w:ascii="Segoe UI" w:hAnsi="Segoe UI" w:cs="Segoe UI"/>
          <w:sz w:val="18"/>
          <w:szCs w:val="18"/>
        </w:rPr>
      </w:pPr>
    </w:p>
    <w:p w14:paraId="6F64A2F7" w14:textId="77777777" w:rsidR="00AF16D6" w:rsidRDefault="00AF16D6">
      <w:pPr>
        <w:rPr>
          <w:rStyle w:val="normaltextrun"/>
          <w:rFonts w:ascii="Poppins" w:eastAsia="Poppins Light" w:hAnsi="Poppins" w:cs="Poppins"/>
          <w:b/>
          <w:noProof/>
          <w:color w:val="5F5F5F" w:themeColor="text2"/>
          <w:sz w:val="22"/>
          <w:szCs w:val="22"/>
          <w:shd w:val="clear" w:color="auto" w:fill="FFFFFF"/>
          <w:lang w:val="en-NZ"/>
        </w:rPr>
      </w:pPr>
      <w:r>
        <w:rPr>
          <w:rStyle w:val="normaltextrun"/>
        </w:rPr>
        <w:br w:type="page"/>
      </w:r>
    </w:p>
    <w:p w14:paraId="4B765DBA" w14:textId="57BFAD35" w:rsidR="00B16EC1" w:rsidRPr="00B16EC1" w:rsidRDefault="00B16EC1" w:rsidP="00AF16D6">
      <w:pPr>
        <w:pStyle w:val="Heading4"/>
      </w:pPr>
      <w:r w:rsidRPr="00B16EC1">
        <w:rPr>
          <w:rStyle w:val="normaltextrun"/>
        </w:rPr>
        <w:lastRenderedPageBreak/>
        <w:t>Nillumbik</w:t>
      </w:r>
      <w:r w:rsidRPr="00B16EC1">
        <w:rPr>
          <w:rStyle w:val="eop"/>
        </w:rPr>
        <w:t> </w:t>
      </w:r>
    </w:p>
    <w:p w14:paraId="16F68D47" w14:textId="77777777" w:rsidR="00B16EC1" w:rsidRPr="00B16EC1" w:rsidRDefault="00B16EC1" w:rsidP="00B16EC1">
      <w:pPr>
        <w:pStyle w:val="paragraph"/>
        <w:spacing w:before="0" w:beforeAutospacing="0" w:after="0" w:afterAutospacing="0"/>
        <w:textAlignment w:val="baseline"/>
        <w:rPr>
          <w:rFonts w:ascii="Segoe UI" w:hAnsi="Segoe UI" w:cs="Segoe UI"/>
          <w:sz w:val="21"/>
          <w:szCs w:val="21"/>
        </w:rPr>
      </w:pPr>
      <w:r w:rsidRPr="00B16EC1">
        <w:rPr>
          <w:rStyle w:val="normaltextrun"/>
          <w:rFonts w:ascii="Poppins" w:hAnsi="Poppins" w:cs="Poppins"/>
          <w:sz w:val="22"/>
          <w:szCs w:val="22"/>
        </w:rPr>
        <w:t>The response rate for Nillumbik was 50% (n=8). No respondents said they stocked MTOP medication or dental dams. However, all pharmacies stocked ECP, implants and contraceptive pills. </w:t>
      </w:r>
      <w:r w:rsidRPr="00B16EC1">
        <w:rPr>
          <w:rStyle w:val="normaltextrun"/>
          <w:rFonts w:ascii="Poppins" w:hAnsi="Poppins" w:cs="Poppins"/>
          <w:b/>
          <w:bCs/>
          <w:sz w:val="22"/>
          <w:szCs w:val="22"/>
        </w:rPr>
        <w:t xml:space="preserve"> </w:t>
      </w:r>
      <w:proofErr w:type="gramStart"/>
      <w:r w:rsidRPr="00B16EC1">
        <w:rPr>
          <w:rStyle w:val="normaltextrun"/>
          <w:rFonts w:ascii="Poppins" w:hAnsi="Poppins" w:cs="Poppins"/>
          <w:sz w:val="22"/>
          <w:szCs w:val="22"/>
        </w:rPr>
        <w:t>A majority of</w:t>
      </w:r>
      <w:proofErr w:type="gramEnd"/>
      <w:r w:rsidRPr="00B16EC1">
        <w:rPr>
          <w:rStyle w:val="normaltextrun"/>
          <w:rFonts w:ascii="Poppins" w:hAnsi="Poppins" w:cs="Poppins"/>
          <w:sz w:val="22"/>
          <w:szCs w:val="22"/>
        </w:rPr>
        <w:t xml:space="preserve"> pharmacies stocked contraceptive injections and IUDs. </w:t>
      </w:r>
      <w:r w:rsidRPr="00B16EC1">
        <w:rPr>
          <w:rStyle w:val="eop"/>
          <w:rFonts w:ascii="Poppins" w:hAnsi="Poppins" w:cs="Poppins"/>
          <w:sz w:val="22"/>
          <w:szCs w:val="22"/>
        </w:rPr>
        <w:t> </w:t>
      </w:r>
    </w:p>
    <w:p w14:paraId="6DB19BBA" w14:textId="4D628B71" w:rsidR="00B16EC1" w:rsidRPr="00B16EC1" w:rsidRDefault="00B16EC1" w:rsidP="00AF16D6">
      <w:pPr>
        <w:pStyle w:val="BodyText"/>
        <w:rPr>
          <w:rStyle w:val="eop"/>
          <w:b/>
          <w:bCs w:val="0"/>
          <w:sz w:val="28"/>
          <w:szCs w:val="28"/>
        </w:rPr>
      </w:pPr>
      <w:r w:rsidRPr="0071768F">
        <w:rPr>
          <w:rStyle w:val="eop"/>
          <w:b/>
          <w:bCs w:val="0"/>
        </w:rPr>
        <w:t xml:space="preserve">Table </w:t>
      </w:r>
      <w:r>
        <w:rPr>
          <w:rStyle w:val="eop"/>
          <w:b/>
          <w:bCs w:val="0"/>
        </w:rPr>
        <w:t>7</w:t>
      </w:r>
      <w:r w:rsidRPr="0071768F">
        <w:rPr>
          <w:rStyle w:val="eop"/>
          <w:b/>
          <w:bCs w:val="0"/>
        </w:rPr>
        <w:t xml:space="preserve">. Sexual and reproductive health phramaceuticals stocked </w:t>
      </w:r>
      <w:r>
        <w:rPr>
          <w:rStyle w:val="eop"/>
          <w:b/>
          <w:bCs w:val="0"/>
        </w:rPr>
        <w:t xml:space="preserve">in the City of </w:t>
      </w:r>
      <w:r>
        <w:rPr>
          <w:rStyle w:val="eop"/>
          <w:b/>
          <w:bCs w:val="0"/>
        </w:rPr>
        <w:t>Nillumbik.</w:t>
      </w:r>
    </w:p>
    <w:tbl>
      <w:tblPr>
        <w:tblStyle w:val="TableGrid"/>
        <w:tblW w:w="5000" w:type="pct"/>
        <w:tblLook w:val="04A0" w:firstRow="1" w:lastRow="0" w:firstColumn="1" w:lastColumn="0" w:noHBand="0" w:noVBand="1"/>
      </w:tblPr>
      <w:tblGrid>
        <w:gridCol w:w="3243"/>
        <w:gridCol w:w="3243"/>
        <w:gridCol w:w="3244"/>
      </w:tblGrid>
      <w:tr w:rsidR="00B16EC1" w:rsidRPr="0000496A" w14:paraId="6569614F" w14:textId="77777777" w:rsidTr="009C7A15">
        <w:tc>
          <w:tcPr>
            <w:tcW w:w="1666" w:type="pct"/>
          </w:tcPr>
          <w:p w14:paraId="51B017D8" w14:textId="77777777" w:rsidR="00B16EC1" w:rsidRPr="00AF16D6" w:rsidRDefault="00B16EC1" w:rsidP="00AF16D6">
            <w:pPr>
              <w:pStyle w:val="BodyText"/>
              <w:rPr>
                <w:b/>
                <w:bCs w:val="0"/>
              </w:rPr>
            </w:pPr>
            <w:r w:rsidRPr="00AF16D6">
              <w:rPr>
                <w:b/>
                <w:bCs w:val="0"/>
              </w:rPr>
              <w:t>Pharmaceutical</w:t>
            </w:r>
          </w:p>
        </w:tc>
        <w:tc>
          <w:tcPr>
            <w:tcW w:w="1666" w:type="pct"/>
          </w:tcPr>
          <w:p w14:paraId="6B8F9B3F" w14:textId="77777777" w:rsidR="00B16EC1" w:rsidRPr="00AF16D6" w:rsidRDefault="00B16EC1" w:rsidP="00AF16D6">
            <w:pPr>
              <w:pStyle w:val="BodyText"/>
              <w:rPr>
                <w:b/>
                <w:bCs w:val="0"/>
              </w:rPr>
            </w:pPr>
            <w:r w:rsidRPr="00AF16D6">
              <w:rPr>
                <w:b/>
                <w:bCs w:val="0"/>
              </w:rPr>
              <w:t>Yes</w:t>
            </w:r>
          </w:p>
        </w:tc>
        <w:tc>
          <w:tcPr>
            <w:tcW w:w="1667" w:type="pct"/>
          </w:tcPr>
          <w:p w14:paraId="7F43C1A9" w14:textId="77777777" w:rsidR="00B16EC1" w:rsidRPr="00AF16D6" w:rsidRDefault="00B16EC1" w:rsidP="00AF16D6">
            <w:pPr>
              <w:pStyle w:val="BodyText"/>
              <w:rPr>
                <w:b/>
                <w:bCs w:val="0"/>
              </w:rPr>
            </w:pPr>
            <w:r w:rsidRPr="00AF16D6">
              <w:rPr>
                <w:b/>
                <w:bCs w:val="0"/>
              </w:rPr>
              <w:t>No</w:t>
            </w:r>
          </w:p>
        </w:tc>
      </w:tr>
      <w:tr w:rsidR="00B16EC1" w14:paraId="4A777B9C" w14:textId="77777777" w:rsidTr="009C7A15">
        <w:tc>
          <w:tcPr>
            <w:tcW w:w="1666" w:type="pct"/>
          </w:tcPr>
          <w:p w14:paraId="16C709B7" w14:textId="77777777" w:rsidR="00B16EC1" w:rsidRPr="00AF16D6" w:rsidRDefault="00B16EC1" w:rsidP="00AF16D6">
            <w:pPr>
              <w:pStyle w:val="BodyText"/>
              <w:rPr>
                <w:b/>
                <w:bCs w:val="0"/>
              </w:rPr>
            </w:pPr>
            <w:r w:rsidRPr="00AF16D6">
              <w:rPr>
                <w:b/>
                <w:bCs w:val="0"/>
              </w:rPr>
              <w:t>Dental dams</w:t>
            </w:r>
          </w:p>
        </w:tc>
        <w:tc>
          <w:tcPr>
            <w:tcW w:w="1666" w:type="pct"/>
          </w:tcPr>
          <w:p w14:paraId="6CCC682D" w14:textId="77777777" w:rsidR="00B16EC1" w:rsidRDefault="00B16EC1" w:rsidP="00AF16D6">
            <w:pPr>
              <w:pStyle w:val="BodyText"/>
            </w:pPr>
            <w:r>
              <w:t>0</w:t>
            </w:r>
          </w:p>
        </w:tc>
        <w:tc>
          <w:tcPr>
            <w:tcW w:w="1667" w:type="pct"/>
          </w:tcPr>
          <w:p w14:paraId="78C5771D" w14:textId="1A07B7FC" w:rsidR="00B16EC1" w:rsidRDefault="00B16EC1" w:rsidP="00AF16D6">
            <w:pPr>
              <w:pStyle w:val="BodyText"/>
            </w:pPr>
            <w:r>
              <w:t>8</w:t>
            </w:r>
          </w:p>
        </w:tc>
      </w:tr>
      <w:tr w:rsidR="00B16EC1" w14:paraId="43826263" w14:textId="77777777" w:rsidTr="009C7A15">
        <w:tc>
          <w:tcPr>
            <w:tcW w:w="1666" w:type="pct"/>
          </w:tcPr>
          <w:p w14:paraId="64CDF50C" w14:textId="77777777" w:rsidR="00B16EC1" w:rsidRPr="00AF16D6" w:rsidRDefault="00B16EC1" w:rsidP="00AF16D6">
            <w:pPr>
              <w:pStyle w:val="BodyText"/>
              <w:rPr>
                <w:b/>
                <w:bCs w:val="0"/>
              </w:rPr>
            </w:pPr>
            <w:r w:rsidRPr="00AF16D6">
              <w:rPr>
                <w:b/>
                <w:bCs w:val="0"/>
              </w:rPr>
              <w:t>ECP</w:t>
            </w:r>
          </w:p>
        </w:tc>
        <w:tc>
          <w:tcPr>
            <w:tcW w:w="1666" w:type="pct"/>
          </w:tcPr>
          <w:p w14:paraId="4C3EC458" w14:textId="25C65B63" w:rsidR="00B16EC1" w:rsidRDefault="00B16EC1" w:rsidP="00AF16D6">
            <w:pPr>
              <w:pStyle w:val="BodyText"/>
            </w:pPr>
            <w:r>
              <w:t>8</w:t>
            </w:r>
          </w:p>
        </w:tc>
        <w:tc>
          <w:tcPr>
            <w:tcW w:w="1667" w:type="pct"/>
          </w:tcPr>
          <w:p w14:paraId="1EFF4EE5" w14:textId="77777777" w:rsidR="00B16EC1" w:rsidRDefault="00B16EC1" w:rsidP="00AF16D6">
            <w:pPr>
              <w:pStyle w:val="BodyText"/>
            </w:pPr>
            <w:r>
              <w:t>0</w:t>
            </w:r>
          </w:p>
        </w:tc>
      </w:tr>
      <w:tr w:rsidR="00B16EC1" w14:paraId="0DD1C863" w14:textId="77777777" w:rsidTr="009C7A15">
        <w:tc>
          <w:tcPr>
            <w:tcW w:w="1666" w:type="pct"/>
          </w:tcPr>
          <w:p w14:paraId="7C053678" w14:textId="77777777" w:rsidR="00B16EC1" w:rsidRPr="00AF16D6" w:rsidRDefault="00B16EC1" w:rsidP="00AF16D6">
            <w:pPr>
              <w:pStyle w:val="BodyText"/>
              <w:rPr>
                <w:b/>
                <w:bCs w:val="0"/>
              </w:rPr>
            </w:pPr>
            <w:r w:rsidRPr="00AF16D6">
              <w:rPr>
                <w:b/>
                <w:bCs w:val="0"/>
              </w:rPr>
              <w:t>Implants</w:t>
            </w:r>
          </w:p>
        </w:tc>
        <w:tc>
          <w:tcPr>
            <w:tcW w:w="1666" w:type="pct"/>
          </w:tcPr>
          <w:p w14:paraId="6F0796DF" w14:textId="0CED4FDC" w:rsidR="00B16EC1" w:rsidRDefault="00B16EC1" w:rsidP="00AF16D6">
            <w:pPr>
              <w:pStyle w:val="BodyText"/>
            </w:pPr>
            <w:r>
              <w:t>8</w:t>
            </w:r>
          </w:p>
        </w:tc>
        <w:tc>
          <w:tcPr>
            <w:tcW w:w="1667" w:type="pct"/>
          </w:tcPr>
          <w:p w14:paraId="1133DDD4" w14:textId="0CFA7DE3" w:rsidR="00B16EC1" w:rsidRDefault="00B16EC1" w:rsidP="00AF16D6">
            <w:pPr>
              <w:pStyle w:val="BodyText"/>
            </w:pPr>
            <w:r>
              <w:t>0</w:t>
            </w:r>
          </w:p>
        </w:tc>
      </w:tr>
      <w:tr w:rsidR="00B16EC1" w14:paraId="6DFA5E83" w14:textId="77777777" w:rsidTr="009C7A15">
        <w:tc>
          <w:tcPr>
            <w:tcW w:w="1666" w:type="pct"/>
          </w:tcPr>
          <w:p w14:paraId="4401448C" w14:textId="77777777" w:rsidR="00B16EC1" w:rsidRPr="00AF16D6" w:rsidRDefault="00B16EC1" w:rsidP="00AF16D6">
            <w:pPr>
              <w:pStyle w:val="BodyText"/>
              <w:rPr>
                <w:b/>
                <w:bCs w:val="0"/>
              </w:rPr>
            </w:pPr>
            <w:r w:rsidRPr="00AF16D6">
              <w:rPr>
                <w:b/>
                <w:bCs w:val="0"/>
              </w:rPr>
              <w:t>Injections</w:t>
            </w:r>
          </w:p>
        </w:tc>
        <w:tc>
          <w:tcPr>
            <w:tcW w:w="1666" w:type="pct"/>
          </w:tcPr>
          <w:p w14:paraId="7FAF8CBE" w14:textId="4A20A80E" w:rsidR="00B16EC1" w:rsidRDefault="00B16EC1" w:rsidP="00AF16D6">
            <w:pPr>
              <w:pStyle w:val="BodyText"/>
            </w:pPr>
            <w:r>
              <w:t>7</w:t>
            </w:r>
          </w:p>
        </w:tc>
        <w:tc>
          <w:tcPr>
            <w:tcW w:w="1667" w:type="pct"/>
          </w:tcPr>
          <w:p w14:paraId="0CB745B8" w14:textId="4CFD0CD7" w:rsidR="00B16EC1" w:rsidRDefault="00B16EC1" w:rsidP="00AF16D6">
            <w:pPr>
              <w:pStyle w:val="BodyText"/>
            </w:pPr>
            <w:r>
              <w:t>1</w:t>
            </w:r>
          </w:p>
        </w:tc>
      </w:tr>
      <w:tr w:rsidR="00B16EC1" w14:paraId="3EF52DD9" w14:textId="77777777" w:rsidTr="009C7A15">
        <w:tc>
          <w:tcPr>
            <w:tcW w:w="1666" w:type="pct"/>
          </w:tcPr>
          <w:p w14:paraId="3908AA0C" w14:textId="77777777" w:rsidR="00B16EC1" w:rsidRPr="00AF16D6" w:rsidRDefault="00B16EC1" w:rsidP="00AF16D6">
            <w:pPr>
              <w:pStyle w:val="BodyText"/>
              <w:rPr>
                <w:b/>
                <w:bCs w:val="0"/>
              </w:rPr>
            </w:pPr>
            <w:r w:rsidRPr="00AF16D6">
              <w:rPr>
                <w:b/>
                <w:bCs w:val="0"/>
              </w:rPr>
              <w:t>IUDs</w:t>
            </w:r>
          </w:p>
        </w:tc>
        <w:tc>
          <w:tcPr>
            <w:tcW w:w="1666" w:type="pct"/>
          </w:tcPr>
          <w:p w14:paraId="1C705BEA" w14:textId="33684666" w:rsidR="00B16EC1" w:rsidRDefault="00B16EC1" w:rsidP="00AF16D6">
            <w:pPr>
              <w:pStyle w:val="BodyText"/>
            </w:pPr>
            <w:r>
              <w:t>6</w:t>
            </w:r>
          </w:p>
        </w:tc>
        <w:tc>
          <w:tcPr>
            <w:tcW w:w="1667" w:type="pct"/>
          </w:tcPr>
          <w:p w14:paraId="1D82D369" w14:textId="63E88B5A" w:rsidR="00B16EC1" w:rsidRDefault="00B16EC1" w:rsidP="00AF16D6">
            <w:pPr>
              <w:pStyle w:val="BodyText"/>
            </w:pPr>
            <w:r>
              <w:t>2</w:t>
            </w:r>
          </w:p>
        </w:tc>
      </w:tr>
      <w:tr w:rsidR="00B16EC1" w14:paraId="34AA8BE5" w14:textId="77777777" w:rsidTr="009C7A15">
        <w:tc>
          <w:tcPr>
            <w:tcW w:w="1666" w:type="pct"/>
          </w:tcPr>
          <w:p w14:paraId="5EECBB57" w14:textId="77777777" w:rsidR="00B16EC1" w:rsidRPr="00AF16D6" w:rsidRDefault="00B16EC1" w:rsidP="00AF16D6">
            <w:pPr>
              <w:pStyle w:val="BodyText"/>
              <w:rPr>
                <w:b/>
                <w:bCs w:val="0"/>
              </w:rPr>
            </w:pPr>
            <w:r w:rsidRPr="00AF16D6">
              <w:rPr>
                <w:b/>
                <w:bCs w:val="0"/>
              </w:rPr>
              <w:t>Pills</w:t>
            </w:r>
          </w:p>
        </w:tc>
        <w:tc>
          <w:tcPr>
            <w:tcW w:w="1666" w:type="pct"/>
          </w:tcPr>
          <w:p w14:paraId="3ADBECD2" w14:textId="3034DE94" w:rsidR="00B16EC1" w:rsidRDefault="00B16EC1" w:rsidP="00AF16D6">
            <w:pPr>
              <w:pStyle w:val="BodyText"/>
            </w:pPr>
            <w:r>
              <w:t>8</w:t>
            </w:r>
          </w:p>
        </w:tc>
        <w:tc>
          <w:tcPr>
            <w:tcW w:w="1667" w:type="pct"/>
          </w:tcPr>
          <w:p w14:paraId="22190391" w14:textId="77777777" w:rsidR="00B16EC1" w:rsidRDefault="00B16EC1" w:rsidP="00AF16D6">
            <w:pPr>
              <w:pStyle w:val="BodyText"/>
            </w:pPr>
            <w:r>
              <w:t>0</w:t>
            </w:r>
          </w:p>
        </w:tc>
      </w:tr>
      <w:tr w:rsidR="00B16EC1" w14:paraId="70096BE5" w14:textId="77777777" w:rsidTr="009C7A15">
        <w:tc>
          <w:tcPr>
            <w:tcW w:w="1666" w:type="pct"/>
          </w:tcPr>
          <w:p w14:paraId="0DC5AF34" w14:textId="77777777" w:rsidR="00B16EC1" w:rsidRPr="00AF16D6" w:rsidRDefault="00B16EC1" w:rsidP="00AF16D6">
            <w:pPr>
              <w:pStyle w:val="BodyText"/>
              <w:rPr>
                <w:b/>
                <w:bCs w:val="0"/>
              </w:rPr>
            </w:pPr>
            <w:r w:rsidRPr="00AF16D6">
              <w:rPr>
                <w:b/>
                <w:bCs w:val="0"/>
              </w:rPr>
              <w:t>MTOP</w:t>
            </w:r>
          </w:p>
        </w:tc>
        <w:tc>
          <w:tcPr>
            <w:tcW w:w="1666" w:type="pct"/>
          </w:tcPr>
          <w:p w14:paraId="73DF1DA7" w14:textId="77777777" w:rsidR="00B16EC1" w:rsidRDefault="00B16EC1" w:rsidP="00AF16D6">
            <w:pPr>
              <w:pStyle w:val="BodyText"/>
            </w:pPr>
            <w:r>
              <w:t>0</w:t>
            </w:r>
          </w:p>
        </w:tc>
        <w:tc>
          <w:tcPr>
            <w:tcW w:w="1667" w:type="pct"/>
          </w:tcPr>
          <w:p w14:paraId="51817F9C" w14:textId="2945138A" w:rsidR="00B16EC1" w:rsidRDefault="00B16EC1" w:rsidP="00AF16D6">
            <w:pPr>
              <w:pStyle w:val="BodyText"/>
            </w:pPr>
            <w:r>
              <w:t>8</w:t>
            </w:r>
          </w:p>
        </w:tc>
      </w:tr>
    </w:tbl>
    <w:p w14:paraId="703C73F2" w14:textId="5A0B6215" w:rsidR="00B16EC1" w:rsidRDefault="00B16EC1" w:rsidP="00B16EC1">
      <w:pPr>
        <w:pStyle w:val="paragraph"/>
        <w:spacing w:before="0" w:beforeAutospacing="0" w:after="0" w:afterAutospacing="0"/>
        <w:textAlignment w:val="baseline"/>
        <w:rPr>
          <w:rFonts w:ascii="Segoe UI" w:hAnsi="Segoe UI" w:cs="Segoe UI"/>
          <w:sz w:val="18"/>
          <w:szCs w:val="18"/>
        </w:rPr>
      </w:pPr>
    </w:p>
    <w:p w14:paraId="07BA9347" w14:textId="77777777" w:rsidR="00B16EC1" w:rsidRDefault="00B16EC1" w:rsidP="00B16EC1">
      <w:pPr>
        <w:pStyle w:val="paragraph"/>
        <w:spacing w:before="0" w:beforeAutospacing="0" w:after="0" w:afterAutospacing="0"/>
        <w:textAlignment w:val="baseline"/>
        <w:rPr>
          <w:rFonts w:ascii="Segoe UI" w:hAnsi="Segoe UI" w:cs="Segoe UI"/>
          <w:b/>
          <w:bCs/>
          <w:sz w:val="18"/>
          <w:szCs w:val="18"/>
        </w:rPr>
      </w:pPr>
      <w:r>
        <w:rPr>
          <w:rStyle w:val="eop"/>
          <w:rFonts w:eastAsia="Poppins Light"/>
          <w:b/>
          <w:bCs/>
          <w:sz w:val="20"/>
          <w:szCs w:val="20"/>
        </w:rPr>
        <w:t> </w:t>
      </w:r>
    </w:p>
    <w:p w14:paraId="08C6E770" w14:textId="77777777" w:rsidR="00AF16D6" w:rsidRDefault="00AF16D6">
      <w:pPr>
        <w:rPr>
          <w:rStyle w:val="normaltextrun"/>
          <w:rFonts w:ascii="Poppins" w:eastAsia="Poppins Light" w:hAnsi="Poppins" w:cs="Poppins"/>
          <w:b/>
          <w:noProof/>
          <w:color w:val="5F5F5F" w:themeColor="text2"/>
          <w:sz w:val="22"/>
          <w:szCs w:val="22"/>
          <w:shd w:val="clear" w:color="auto" w:fill="FFFFFF"/>
          <w:lang w:val="en-NZ"/>
        </w:rPr>
      </w:pPr>
      <w:r>
        <w:rPr>
          <w:rStyle w:val="normaltextrun"/>
        </w:rPr>
        <w:br w:type="page"/>
      </w:r>
    </w:p>
    <w:p w14:paraId="1BB0C65D" w14:textId="02CCE056" w:rsidR="00B16EC1" w:rsidRPr="00B16EC1" w:rsidRDefault="00B16EC1" w:rsidP="00AF16D6">
      <w:pPr>
        <w:pStyle w:val="Heading4"/>
      </w:pPr>
      <w:r w:rsidRPr="00B16EC1">
        <w:rPr>
          <w:rStyle w:val="normaltextrun"/>
        </w:rPr>
        <w:lastRenderedPageBreak/>
        <w:t>Whittlesea</w:t>
      </w:r>
      <w:r w:rsidRPr="00B16EC1">
        <w:rPr>
          <w:rStyle w:val="eop"/>
        </w:rPr>
        <w:t> </w:t>
      </w:r>
    </w:p>
    <w:p w14:paraId="67B6A0C5" w14:textId="77777777" w:rsidR="00B16EC1" w:rsidRPr="00B16EC1" w:rsidRDefault="00B16EC1" w:rsidP="00B16EC1">
      <w:pPr>
        <w:pStyle w:val="paragraph"/>
        <w:spacing w:before="0" w:beforeAutospacing="0" w:after="0" w:afterAutospacing="0"/>
        <w:textAlignment w:val="baseline"/>
        <w:rPr>
          <w:rFonts w:ascii="Segoe UI" w:hAnsi="Segoe UI" w:cs="Segoe UI"/>
          <w:sz w:val="21"/>
          <w:szCs w:val="21"/>
        </w:rPr>
      </w:pPr>
      <w:r w:rsidRPr="00B16EC1">
        <w:rPr>
          <w:rStyle w:val="normaltextrun"/>
          <w:rFonts w:ascii="Poppins" w:hAnsi="Poppins" w:cs="Poppins"/>
          <w:sz w:val="22"/>
          <w:szCs w:val="22"/>
        </w:rPr>
        <w:t xml:space="preserve">The response rate for Whittlesea was 40% (n=8). </w:t>
      </w:r>
      <w:proofErr w:type="gramStart"/>
      <w:r w:rsidRPr="00B16EC1">
        <w:rPr>
          <w:rStyle w:val="normaltextrun"/>
          <w:rFonts w:ascii="Poppins" w:hAnsi="Poppins" w:cs="Poppins"/>
          <w:sz w:val="22"/>
          <w:szCs w:val="22"/>
        </w:rPr>
        <w:t>A majority of</w:t>
      </w:r>
      <w:proofErr w:type="gramEnd"/>
      <w:r w:rsidRPr="00B16EC1">
        <w:rPr>
          <w:rStyle w:val="normaltextrun"/>
          <w:rFonts w:ascii="Poppins" w:hAnsi="Poppins" w:cs="Poppins"/>
          <w:sz w:val="22"/>
          <w:szCs w:val="22"/>
        </w:rPr>
        <w:t xml:space="preserve"> pharmacies stocked LARCs, but less than half stocked MTOP medication. All but one pharmacy stocked ECP and only one pharmacy stocked dental dams. </w:t>
      </w:r>
      <w:r w:rsidRPr="00B16EC1">
        <w:rPr>
          <w:rStyle w:val="eop"/>
          <w:rFonts w:eastAsia="Poppins Light"/>
          <w:sz w:val="22"/>
          <w:szCs w:val="22"/>
        </w:rPr>
        <w:t> </w:t>
      </w:r>
    </w:p>
    <w:p w14:paraId="39B6B9FC" w14:textId="36E3C35E" w:rsidR="00B16EC1" w:rsidRPr="00B16EC1" w:rsidRDefault="00B16EC1" w:rsidP="00AF16D6">
      <w:pPr>
        <w:pStyle w:val="BodyText"/>
        <w:rPr>
          <w:rStyle w:val="eop"/>
          <w:b/>
          <w:bCs w:val="0"/>
          <w:sz w:val="28"/>
          <w:szCs w:val="28"/>
        </w:rPr>
      </w:pPr>
      <w:r w:rsidRPr="0071768F">
        <w:rPr>
          <w:rStyle w:val="eop"/>
          <w:b/>
          <w:bCs w:val="0"/>
        </w:rPr>
        <w:t xml:space="preserve">Table </w:t>
      </w:r>
      <w:r>
        <w:rPr>
          <w:rStyle w:val="eop"/>
          <w:b/>
          <w:bCs w:val="0"/>
        </w:rPr>
        <w:t>8</w:t>
      </w:r>
      <w:r w:rsidRPr="0071768F">
        <w:rPr>
          <w:rStyle w:val="eop"/>
          <w:b/>
          <w:bCs w:val="0"/>
        </w:rPr>
        <w:t xml:space="preserve">. Sexual and reproductive health phramaceuticals stocked </w:t>
      </w:r>
      <w:r>
        <w:rPr>
          <w:rStyle w:val="eop"/>
          <w:b/>
          <w:bCs w:val="0"/>
        </w:rPr>
        <w:t xml:space="preserve">in the City of </w:t>
      </w:r>
      <w:r>
        <w:rPr>
          <w:rStyle w:val="eop"/>
          <w:b/>
          <w:bCs w:val="0"/>
        </w:rPr>
        <w:t xml:space="preserve">Whittlesea. </w:t>
      </w:r>
    </w:p>
    <w:tbl>
      <w:tblPr>
        <w:tblStyle w:val="TableGrid"/>
        <w:tblW w:w="5000" w:type="pct"/>
        <w:tblLook w:val="04A0" w:firstRow="1" w:lastRow="0" w:firstColumn="1" w:lastColumn="0" w:noHBand="0" w:noVBand="1"/>
      </w:tblPr>
      <w:tblGrid>
        <w:gridCol w:w="3243"/>
        <w:gridCol w:w="3243"/>
        <w:gridCol w:w="3244"/>
      </w:tblGrid>
      <w:tr w:rsidR="00B16EC1" w:rsidRPr="0000496A" w14:paraId="2D3C59AC" w14:textId="77777777" w:rsidTr="009C7A15">
        <w:tc>
          <w:tcPr>
            <w:tcW w:w="1666" w:type="pct"/>
          </w:tcPr>
          <w:p w14:paraId="3209D622" w14:textId="77777777" w:rsidR="00B16EC1" w:rsidRPr="00AF16D6" w:rsidRDefault="00B16EC1" w:rsidP="00AF16D6">
            <w:pPr>
              <w:pStyle w:val="BodyText"/>
              <w:rPr>
                <w:b/>
                <w:bCs w:val="0"/>
              </w:rPr>
            </w:pPr>
            <w:r w:rsidRPr="00AF16D6">
              <w:rPr>
                <w:b/>
                <w:bCs w:val="0"/>
              </w:rPr>
              <w:t>Pharmaceutical</w:t>
            </w:r>
          </w:p>
        </w:tc>
        <w:tc>
          <w:tcPr>
            <w:tcW w:w="1666" w:type="pct"/>
          </w:tcPr>
          <w:p w14:paraId="3E68AB2C" w14:textId="77777777" w:rsidR="00B16EC1" w:rsidRPr="00AF16D6" w:rsidRDefault="00B16EC1" w:rsidP="00AF16D6">
            <w:pPr>
              <w:pStyle w:val="BodyText"/>
              <w:rPr>
                <w:b/>
                <w:bCs w:val="0"/>
              </w:rPr>
            </w:pPr>
            <w:r w:rsidRPr="00AF16D6">
              <w:rPr>
                <w:b/>
                <w:bCs w:val="0"/>
              </w:rPr>
              <w:t>Yes</w:t>
            </w:r>
          </w:p>
        </w:tc>
        <w:tc>
          <w:tcPr>
            <w:tcW w:w="1667" w:type="pct"/>
          </w:tcPr>
          <w:p w14:paraId="507B8223" w14:textId="77777777" w:rsidR="00B16EC1" w:rsidRPr="00AF16D6" w:rsidRDefault="00B16EC1" w:rsidP="00AF16D6">
            <w:pPr>
              <w:pStyle w:val="BodyText"/>
              <w:rPr>
                <w:b/>
                <w:bCs w:val="0"/>
              </w:rPr>
            </w:pPr>
            <w:r w:rsidRPr="00AF16D6">
              <w:rPr>
                <w:b/>
                <w:bCs w:val="0"/>
              </w:rPr>
              <w:t>No</w:t>
            </w:r>
          </w:p>
        </w:tc>
      </w:tr>
      <w:tr w:rsidR="00B16EC1" w14:paraId="323AC2AF" w14:textId="77777777" w:rsidTr="009C7A15">
        <w:tc>
          <w:tcPr>
            <w:tcW w:w="1666" w:type="pct"/>
          </w:tcPr>
          <w:p w14:paraId="7F48F6F8" w14:textId="77777777" w:rsidR="00B16EC1" w:rsidRPr="00AF16D6" w:rsidRDefault="00B16EC1" w:rsidP="00AF16D6">
            <w:pPr>
              <w:pStyle w:val="BodyText"/>
              <w:rPr>
                <w:b/>
                <w:bCs w:val="0"/>
              </w:rPr>
            </w:pPr>
            <w:r w:rsidRPr="00AF16D6">
              <w:rPr>
                <w:b/>
                <w:bCs w:val="0"/>
              </w:rPr>
              <w:t>Dental dams</w:t>
            </w:r>
          </w:p>
        </w:tc>
        <w:tc>
          <w:tcPr>
            <w:tcW w:w="1666" w:type="pct"/>
          </w:tcPr>
          <w:p w14:paraId="2D377FFB" w14:textId="2CC591AD" w:rsidR="00B16EC1" w:rsidRDefault="00B16EC1" w:rsidP="00AF16D6">
            <w:pPr>
              <w:pStyle w:val="BodyText"/>
            </w:pPr>
            <w:r>
              <w:t>1</w:t>
            </w:r>
          </w:p>
        </w:tc>
        <w:tc>
          <w:tcPr>
            <w:tcW w:w="1667" w:type="pct"/>
          </w:tcPr>
          <w:p w14:paraId="45358BA3" w14:textId="67B6A7AF" w:rsidR="00B16EC1" w:rsidRDefault="00B16EC1" w:rsidP="00AF16D6">
            <w:pPr>
              <w:pStyle w:val="BodyText"/>
            </w:pPr>
            <w:r>
              <w:t>7</w:t>
            </w:r>
          </w:p>
        </w:tc>
      </w:tr>
      <w:tr w:rsidR="00B16EC1" w14:paraId="3679C686" w14:textId="77777777" w:rsidTr="009C7A15">
        <w:tc>
          <w:tcPr>
            <w:tcW w:w="1666" w:type="pct"/>
          </w:tcPr>
          <w:p w14:paraId="134B7E95" w14:textId="77777777" w:rsidR="00B16EC1" w:rsidRPr="00AF16D6" w:rsidRDefault="00B16EC1" w:rsidP="00AF16D6">
            <w:pPr>
              <w:pStyle w:val="BodyText"/>
              <w:rPr>
                <w:b/>
                <w:bCs w:val="0"/>
              </w:rPr>
            </w:pPr>
            <w:r w:rsidRPr="00AF16D6">
              <w:rPr>
                <w:b/>
                <w:bCs w:val="0"/>
              </w:rPr>
              <w:t>ECP</w:t>
            </w:r>
          </w:p>
        </w:tc>
        <w:tc>
          <w:tcPr>
            <w:tcW w:w="1666" w:type="pct"/>
          </w:tcPr>
          <w:p w14:paraId="5243C6C9" w14:textId="2303DE54" w:rsidR="00B16EC1" w:rsidRDefault="00B16EC1" w:rsidP="00AF16D6">
            <w:pPr>
              <w:pStyle w:val="BodyText"/>
            </w:pPr>
            <w:r>
              <w:t>7</w:t>
            </w:r>
          </w:p>
        </w:tc>
        <w:tc>
          <w:tcPr>
            <w:tcW w:w="1667" w:type="pct"/>
          </w:tcPr>
          <w:p w14:paraId="0D2DF0C1" w14:textId="2658F43C" w:rsidR="00B16EC1" w:rsidRDefault="00B16EC1" w:rsidP="00AF16D6">
            <w:pPr>
              <w:pStyle w:val="BodyText"/>
            </w:pPr>
            <w:r>
              <w:t>1</w:t>
            </w:r>
          </w:p>
        </w:tc>
      </w:tr>
      <w:tr w:rsidR="00B16EC1" w14:paraId="60A6BE53" w14:textId="77777777" w:rsidTr="009C7A15">
        <w:tc>
          <w:tcPr>
            <w:tcW w:w="1666" w:type="pct"/>
          </w:tcPr>
          <w:p w14:paraId="78C1D52C" w14:textId="77777777" w:rsidR="00B16EC1" w:rsidRPr="00AF16D6" w:rsidRDefault="00B16EC1" w:rsidP="00AF16D6">
            <w:pPr>
              <w:pStyle w:val="BodyText"/>
              <w:rPr>
                <w:b/>
                <w:bCs w:val="0"/>
              </w:rPr>
            </w:pPr>
            <w:r w:rsidRPr="00AF16D6">
              <w:rPr>
                <w:b/>
                <w:bCs w:val="0"/>
              </w:rPr>
              <w:t>Implants</w:t>
            </w:r>
          </w:p>
        </w:tc>
        <w:tc>
          <w:tcPr>
            <w:tcW w:w="1666" w:type="pct"/>
          </w:tcPr>
          <w:p w14:paraId="3F1BF8AA" w14:textId="1CBD1AE9" w:rsidR="00B16EC1" w:rsidRDefault="00B16EC1" w:rsidP="00AF16D6">
            <w:pPr>
              <w:pStyle w:val="BodyText"/>
            </w:pPr>
            <w:r>
              <w:t>7</w:t>
            </w:r>
          </w:p>
        </w:tc>
        <w:tc>
          <w:tcPr>
            <w:tcW w:w="1667" w:type="pct"/>
          </w:tcPr>
          <w:p w14:paraId="2F1F5904" w14:textId="7E7F2CFF" w:rsidR="00B16EC1" w:rsidRDefault="00B16EC1" w:rsidP="00AF16D6">
            <w:pPr>
              <w:pStyle w:val="BodyText"/>
            </w:pPr>
            <w:r>
              <w:t>1</w:t>
            </w:r>
          </w:p>
        </w:tc>
      </w:tr>
      <w:tr w:rsidR="00B16EC1" w14:paraId="68641CED" w14:textId="77777777" w:rsidTr="009C7A15">
        <w:tc>
          <w:tcPr>
            <w:tcW w:w="1666" w:type="pct"/>
          </w:tcPr>
          <w:p w14:paraId="77E0681D" w14:textId="77777777" w:rsidR="00B16EC1" w:rsidRPr="00AF16D6" w:rsidRDefault="00B16EC1" w:rsidP="00AF16D6">
            <w:pPr>
              <w:pStyle w:val="BodyText"/>
              <w:rPr>
                <w:b/>
                <w:bCs w:val="0"/>
              </w:rPr>
            </w:pPr>
            <w:r w:rsidRPr="00AF16D6">
              <w:rPr>
                <w:b/>
                <w:bCs w:val="0"/>
              </w:rPr>
              <w:t>Injections</w:t>
            </w:r>
          </w:p>
        </w:tc>
        <w:tc>
          <w:tcPr>
            <w:tcW w:w="1666" w:type="pct"/>
          </w:tcPr>
          <w:p w14:paraId="77072B4D" w14:textId="30A323E0" w:rsidR="00B16EC1" w:rsidRDefault="00B16EC1" w:rsidP="00AF16D6">
            <w:pPr>
              <w:pStyle w:val="BodyText"/>
            </w:pPr>
            <w:r>
              <w:t>8</w:t>
            </w:r>
          </w:p>
        </w:tc>
        <w:tc>
          <w:tcPr>
            <w:tcW w:w="1667" w:type="pct"/>
          </w:tcPr>
          <w:p w14:paraId="69151218" w14:textId="1BA7B654" w:rsidR="00B16EC1" w:rsidRDefault="00B16EC1" w:rsidP="00AF16D6">
            <w:pPr>
              <w:pStyle w:val="BodyText"/>
            </w:pPr>
            <w:r>
              <w:t>0</w:t>
            </w:r>
          </w:p>
        </w:tc>
      </w:tr>
      <w:tr w:rsidR="00B16EC1" w14:paraId="055E77DB" w14:textId="77777777" w:rsidTr="009C7A15">
        <w:tc>
          <w:tcPr>
            <w:tcW w:w="1666" w:type="pct"/>
          </w:tcPr>
          <w:p w14:paraId="63B693C0" w14:textId="77777777" w:rsidR="00B16EC1" w:rsidRPr="00AF16D6" w:rsidRDefault="00B16EC1" w:rsidP="00AF16D6">
            <w:pPr>
              <w:pStyle w:val="BodyText"/>
              <w:rPr>
                <w:b/>
                <w:bCs w:val="0"/>
              </w:rPr>
            </w:pPr>
            <w:r w:rsidRPr="00AF16D6">
              <w:rPr>
                <w:b/>
                <w:bCs w:val="0"/>
              </w:rPr>
              <w:t>IUDs</w:t>
            </w:r>
          </w:p>
        </w:tc>
        <w:tc>
          <w:tcPr>
            <w:tcW w:w="1666" w:type="pct"/>
          </w:tcPr>
          <w:p w14:paraId="6E4F1CEA" w14:textId="38AC6918" w:rsidR="00B16EC1" w:rsidRDefault="00B16EC1" w:rsidP="00AF16D6">
            <w:pPr>
              <w:pStyle w:val="BodyText"/>
            </w:pPr>
            <w:r>
              <w:t>5</w:t>
            </w:r>
          </w:p>
        </w:tc>
        <w:tc>
          <w:tcPr>
            <w:tcW w:w="1667" w:type="pct"/>
          </w:tcPr>
          <w:p w14:paraId="6C1539FC" w14:textId="093B2ACF" w:rsidR="00B16EC1" w:rsidRDefault="00B16EC1" w:rsidP="00AF16D6">
            <w:pPr>
              <w:pStyle w:val="BodyText"/>
            </w:pPr>
            <w:r>
              <w:t>3</w:t>
            </w:r>
          </w:p>
        </w:tc>
      </w:tr>
      <w:tr w:rsidR="00B16EC1" w14:paraId="30CC5B4C" w14:textId="77777777" w:rsidTr="009C7A15">
        <w:tc>
          <w:tcPr>
            <w:tcW w:w="1666" w:type="pct"/>
          </w:tcPr>
          <w:p w14:paraId="1428B10D" w14:textId="77777777" w:rsidR="00B16EC1" w:rsidRPr="00AF16D6" w:rsidRDefault="00B16EC1" w:rsidP="00AF16D6">
            <w:pPr>
              <w:pStyle w:val="BodyText"/>
              <w:rPr>
                <w:b/>
                <w:bCs w:val="0"/>
              </w:rPr>
            </w:pPr>
            <w:r w:rsidRPr="00AF16D6">
              <w:rPr>
                <w:b/>
                <w:bCs w:val="0"/>
              </w:rPr>
              <w:t>Pills</w:t>
            </w:r>
          </w:p>
        </w:tc>
        <w:tc>
          <w:tcPr>
            <w:tcW w:w="1666" w:type="pct"/>
          </w:tcPr>
          <w:p w14:paraId="781D04CE" w14:textId="77777777" w:rsidR="00B16EC1" w:rsidRDefault="00B16EC1" w:rsidP="00AF16D6">
            <w:pPr>
              <w:pStyle w:val="BodyText"/>
            </w:pPr>
            <w:r>
              <w:t>8</w:t>
            </w:r>
          </w:p>
        </w:tc>
        <w:tc>
          <w:tcPr>
            <w:tcW w:w="1667" w:type="pct"/>
          </w:tcPr>
          <w:p w14:paraId="0C4E3ED0" w14:textId="77777777" w:rsidR="00B16EC1" w:rsidRDefault="00B16EC1" w:rsidP="00AF16D6">
            <w:pPr>
              <w:pStyle w:val="BodyText"/>
            </w:pPr>
            <w:r>
              <w:t>0</w:t>
            </w:r>
          </w:p>
        </w:tc>
      </w:tr>
      <w:tr w:rsidR="00B16EC1" w14:paraId="6C6C73E4" w14:textId="77777777" w:rsidTr="009C7A15">
        <w:tc>
          <w:tcPr>
            <w:tcW w:w="1666" w:type="pct"/>
          </w:tcPr>
          <w:p w14:paraId="2AD7531E" w14:textId="77777777" w:rsidR="00B16EC1" w:rsidRPr="00AF16D6" w:rsidRDefault="00B16EC1" w:rsidP="00AF16D6">
            <w:pPr>
              <w:pStyle w:val="BodyText"/>
              <w:rPr>
                <w:b/>
                <w:bCs w:val="0"/>
              </w:rPr>
            </w:pPr>
            <w:r w:rsidRPr="00AF16D6">
              <w:rPr>
                <w:b/>
                <w:bCs w:val="0"/>
              </w:rPr>
              <w:t>MTOP</w:t>
            </w:r>
          </w:p>
        </w:tc>
        <w:tc>
          <w:tcPr>
            <w:tcW w:w="1666" w:type="pct"/>
          </w:tcPr>
          <w:p w14:paraId="219C7DF1" w14:textId="7D75C273" w:rsidR="00B16EC1" w:rsidRDefault="00B16EC1" w:rsidP="00AF16D6">
            <w:pPr>
              <w:pStyle w:val="BodyText"/>
            </w:pPr>
            <w:r>
              <w:t>3</w:t>
            </w:r>
          </w:p>
        </w:tc>
        <w:tc>
          <w:tcPr>
            <w:tcW w:w="1667" w:type="pct"/>
          </w:tcPr>
          <w:p w14:paraId="0B984A70" w14:textId="220C6B05" w:rsidR="00B16EC1" w:rsidRDefault="00B16EC1" w:rsidP="00AF16D6">
            <w:pPr>
              <w:pStyle w:val="BodyText"/>
            </w:pPr>
            <w:r>
              <w:t>5</w:t>
            </w:r>
          </w:p>
        </w:tc>
      </w:tr>
    </w:tbl>
    <w:p w14:paraId="01BEAE61" w14:textId="517255AA" w:rsidR="00B16EC1" w:rsidRDefault="00B16EC1" w:rsidP="00B16EC1">
      <w:pPr>
        <w:pStyle w:val="paragraph"/>
        <w:spacing w:before="0" w:beforeAutospacing="0" w:after="0" w:afterAutospacing="0"/>
        <w:textAlignment w:val="baseline"/>
        <w:rPr>
          <w:rFonts w:ascii="Segoe UI" w:hAnsi="Segoe UI" w:cs="Segoe UI"/>
          <w:b/>
          <w:bCs/>
          <w:sz w:val="18"/>
          <w:szCs w:val="18"/>
        </w:rPr>
      </w:pPr>
    </w:p>
    <w:p w14:paraId="7AE3AB43" w14:textId="77777777" w:rsidR="00B16EC1" w:rsidRDefault="00B16EC1" w:rsidP="00B16EC1">
      <w:pPr>
        <w:pStyle w:val="paragraph"/>
        <w:spacing w:before="0" w:beforeAutospacing="0" w:after="0" w:afterAutospacing="0"/>
        <w:textAlignment w:val="baseline"/>
        <w:rPr>
          <w:rFonts w:ascii="Segoe UI" w:hAnsi="Segoe UI" w:cs="Segoe UI"/>
          <w:b/>
          <w:bCs/>
          <w:sz w:val="18"/>
          <w:szCs w:val="18"/>
        </w:rPr>
      </w:pPr>
      <w:r>
        <w:rPr>
          <w:rStyle w:val="eop"/>
          <w:rFonts w:eastAsia="Poppins Light"/>
          <w:b/>
          <w:bCs/>
          <w:sz w:val="20"/>
          <w:szCs w:val="20"/>
        </w:rPr>
        <w:t> </w:t>
      </w:r>
    </w:p>
    <w:p w14:paraId="695DD0A4" w14:textId="77777777" w:rsidR="00AF16D6" w:rsidRDefault="00AF16D6">
      <w:pPr>
        <w:rPr>
          <w:rStyle w:val="normaltextrun"/>
          <w:rFonts w:ascii="Poppins" w:eastAsia="Poppins Light" w:hAnsi="Poppins" w:cs="Poppins"/>
          <w:b/>
          <w:noProof/>
          <w:color w:val="5F5F5F" w:themeColor="text2"/>
          <w:sz w:val="22"/>
          <w:szCs w:val="22"/>
          <w:shd w:val="clear" w:color="auto" w:fill="FFFFFF"/>
          <w:lang w:val="en-NZ"/>
        </w:rPr>
      </w:pPr>
      <w:r>
        <w:rPr>
          <w:rStyle w:val="normaltextrun"/>
        </w:rPr>
        <w:br w:type="page"/>
      </w:r>
    </w:p>
    <w:p w14:paraId="0B2E27F9" w14:textId="51A95CE6" w:rsidR="00B16EC1" w:rsidRPr="00B16EC1" w:rsidRDefault="00B16EC1" w:rsidP="00AF16D6">
      <w:pPr>
        <w:pStyle w:val="Heading4"/>
      </w:pPr>
      <w:r w:rsidRPr="00B16EC1">
        <w:rPr>
          <w:rStyle w:val="normaltextrun"/>
        </w:rPr>
        <w:lastRenderedPageBreak/>
        <w:t>Yarra </w:t>
      </w:r>
      <w:r w:rsidRPr="00B16EC1">
        <w:rPr>
          <w:rStyle w:val="eop"/>
        </w:rPr>
        <w:t> </w:t>
      </w:r>
    </w:p>
    <w:p w14:paraId="04C02E0A" w14:textId="77777777" w:rsidR="00B16EC1" w:rsidRPr="00B16EC1" w:rsidRDefault="00B16EC1" w:rsidP="00B16EC1">
      <w:pPr>
        <w:pStyle w:val="paragraph"/>
        <w:spacing w:before="0" w:beforeAutospacing="0" w:after="0" w:afterAutospacing="0"/>
        <w:textAlignment w:val="baseline"/>
        <w:rPr>
          <w:rFonts w:ascii="Segoe UI" w:hAnsi="Segoe UI" w:cs="Segoe UI"/>
          <w:sz w:val="21"/>
          <w:szCs w:val="21"/>
        </w:rPr>
      </w:pPr>
      <w:r w:rsidRPr="00B16EC1">
        <w:rPr>
          <w:rStyle w:val="normaltextrun"/>
          <w:rFonts w:ascii="Poppins" w:hAnsi="Poppins" w:cs="Poppins"/>
          <w:sz w:val="22"/>
          <w:szCs w:val="22"/>
        </w:rPr>
        <w:t>The response rate for Yarra was 36% (n=9). No pharmacies stocked dental dams. All pharmacies stocked contraceptive pills and ECP. A large majority of pharmacies stocked contraceptive implants, injections, and IUDs. Less than a third of pharmacies stocked MTOP medication. </w:t>
      </w:r>
      <w:r w:rsidRPr="00B16EC1">
        <w:rPr>
          <w:rStyle w:val="eop"/>
          <w:rFonts w:eastAsia="Poppins Light"/>
          <w:sz w:val="22"/>
          <w:szCs w:val="22"/>
        </w:rPr>
        <w:t> </w:t>
      </w:r>
    </w:p>
    <w:p w14:paraId="2A4D331A" w14:textId="348559A5" w:rsidR="00B16EC1" w:rsidRDefault="00B16EC1" w:rsidP="00B16EC1">
      <w:pPr>
        <w:pStyle w:val="paragraph"/>
        <w:spacing w:before="0" w:beforeAutospacing="0" w:after="0" w:afterAutospacing="0"/>
        <w:textAlignment w:val="baseline"/>
        <w:rPr>
          <w:rFonts w:ascii="Segoe UI" w:hAnsi="Segoe UI" w:cs="Segoe UI"/>
          <w:b/>
          <w:bCs/>
          <w:sz w:val="18"/>
          <w:szCs w:val="18"/>
        </w:rPr>
      </w:pPr>
    </w:p>
    <w:p w14:paraId="20E01FC8" w14:textId="74405D1D" w:rsidR="00AF16D6" w:rsidRPr="00B16EC1" w:rsidRDefault="00AF16D6" w:rsidP="00AF16D6">
      <w:pPr>
        <w:pStyle w:val="BodyText"/>
        <w:rPr>
          <w:rStyle w:val="eop"/>
          <w:b/>
          <w:bCs w:val="0"/>
          <w:sz w:val="28"/>
          <w:szCs w:val="28"/>
        </w:rPr>
      </w:pPr>
      <w:r w:rsidRPr="0071768F">
        <w:rPr>
          <w:rStyle w:val="eop"/>
          <w:b/>
          <w:bCs w:val="0"/>
        </w:rPr>
        <w:t xml:space="preserve">Table </w:t>
      </w:r>
      <w:r>
        <w:rPr>
          <w:rStyle w:val="eop"/>
          <w:b/>
          <w:bCs w:val="0"/>
        </w:rPr>
        <w:t>9</w:t>
      </w:r>
      <w:r w:rsidRPr="0071768F">
        <w:rPr>
          <w:rStyle w:val="eop"/>
          <w:b/>
          <w:bCs w:val="0"/>
        </w:rPr>
        <w:t xml:space="preserve">. Sexual and reproductive health phramaceuticals stocked </w:t>
      </w:r>
      <w:r>
        <w:rPr>
          <w:rStyle w:val="eop"/>
          <w:b/>
          <w:bCs w:val="0"/>
        </w:rPr>
        <w:t xml:space="preserve">in the City of </w:t>
      </w:r>
      <w:r>
        <w:rPr>
          <w:rStyle w:val="eop"/>
          <w:b/>
          <w:bCs w:val="0"/>
        </w:rPr>
        <w:t>Yarr</w:t>
      </w:r>
      <w:r>
        <w:rPr>
          <w:rStyle w:val="eop"/>
          <w:b/>
          <w:bCs w:val="0"/>
        </w:rPr>
        <w:t xml:space="preserve">a. </w:t>
      </w:r>
    </w:p>
    <w:tbl>
      <w:tblPr>
        <w:tblStyle w:val="TableGrid"/>
        <w:tblW w:w="5000" w:type="pct"/>
        <w:tblLook w:val="04A0" w:firstRow="1" w:lastRow="0" w:firstColumn="1" w:lastColumn="0" w:noHBand="0" w:noVBand="1"/>
      </w:tblPr>
      <w:tblGrid>
        <w:gridCol w:w="3243"/>
        <w:gridCol w:w="3243"/>
        <w:gridCol w:w="3244"/>
      </w:tblGrid>
      <w:tr w:rsidR="00AF16D6" w:rsidRPr="0000496A" w14:paraId="24FFC84C" w14:textId="77777777" w:rsidTr="009C7A15">
        <w:tc>
          <w:tcPr>
            <w:tcW w:w="1666" w:type="pct"/>
          </w:tcPr>
          <w:p w14:paraId="512FF56D" w14:textId="77777777" w:rsidR="00AF16D6" w:rsidRPr="00AF16D6" w:rsidRDefault="00AF16D6" w:rsidP="00AF16D6">
            <w:pPr>
              <w:pStyle w:val="BodyText"/>
              <w:rPr>
                <w:b/>
                <w:bCs w:val="0"/>
              </w:rPr>
            </w:pPr>
            <w:r w:rsidRPr="00AF16D6">
              <w:rPr>
                <w:b/>
                <w:bCs w:val="0"/>
              </w:rPr>
              <w:t>Pharmaceutical</w:t>
            </w:r>
          </w:p>
        </w:tc>
        <w:tc>
          <w:tcPr>
            <w:tcW w:w="1666" w:type="pct"/>
          </w:tcPr>
          <w:p w14:paraId="37E73229" w14:textId="77777777" w:rsidR="00AF16D6" w:rsidRPr="00AF16D6" w:rsidRDefault="00AF16D6" w:rsidP="00AF16D6">
            <w:pPr>
              <w:pStyle w:val="BodyText"/>
              <w:rPr>
                <w:b/>
                <w:bCs w:val="0"/>
              </w:rPr>
            </w:pPr>
            <w:r w:rsidRPr="00AF16D6">
              <w:rPr>
                <w:b/>
                <w:bCs w:val="0"/>
              </w:rPr>
              <w:t>Yes</w:t>
            </w:r>
          </w:p>
        </w:tc>
        <w:tc>
          <w:tcPr>
            <w:tcW w:w="1667" w:type="pct"/>
          </w:tcPr>
          <w:p w14:paraId="3B7C2763" w14:textId="77777777" w:rsidR="00AF16D6" w:rsidRPr="00AF16D6" w:rsidRDefault="00AF16D6" w:rsidP="00AF16D6">
            <w:pPr>
              <w:pStyle w:val="BodyText"/>
              <w:rPr>
                <w:b/>
                <w:bCs w:val="0"/>
              </w:rPr>
            </w:pPr>
            <w:r w:rsidRPr="00AF16D6">
              <w:rPr>
                <w:b/>
                <w:bCs w:val="0"/>
              </w:rPr>
              <w:t>No</w:t>
            </w:r>
          </w:p>
        </w:tc>
      </w:tr>
      <w:tr w:rsidR="00AF16D6" w14:paraId="71CF06BC" w14:textId="77777777" w:rsidTr="009C7A15">
        <w:tc>
          <w:tcPr>
            <w:tcW w:w="1666" w:type="pct"/>
          </w:tcPr>
          <w:p w14:paraId="03B3E275" w14:textId="77777777" w:rsidR="00AF16D6" w:rsidRPr="00AF16D6" w:rsidRDefault="00AF16D6" w:rsidP="00AF16D6">
            <w:pPr>
              <w:pStyle w:val="BodyText"/>
              <w:rPr>
                <w:b/>
                <w:bCs w:val="0"/>
              </w:rPr>
            </w:pPr>
            <w:r w:rsidRPr="00AF16D6">
              <w:rPr>
                <w:b/>
                <w:bCs w:val="0"/>
              </w:rPr>
              <w:t>Dental dams</w:t>
            </w:r>
          </w:p>
        </w:tc>
        <w:tc>
          <w:tcPr>
            <w:tcW w:w="1666" w:type="pct"/>
          </w:tcPr>
          <w:p w14:paraId="270343A0" w14:textId="2E87C623" w:rsidR="00AF16D6" w:rsidRDefault="00AF16D6" w:rsidP="00AF16D6">
            <w:pPr>
              <w:pStyle w:val="BodyText"/>
            </w:pPr>
            <w:r>
              <w:t>0</w:t>
            </w:r>
          </w:p>
        </w:tc>
        <w:tc>
          <w:tcPr>
            <w:tcW w:w="1667" w:type="pct"/>
          </w:tcPr>
          <w:p w14:paraId="43460F8A" w14:textId="1E32FC99" w:rsidR="00AF16D6" w:rsidRDefault="00AF16D6" w:rsidP="00AF16D6">
            <w:pPr>
              <w:pStyle w:val="BodyText"/>
            </w:pPr>
            <w:r>
              <w:t>9</w:t>
            </w:r>
          </w:p>
        </w:tc>
      </w:tr>
      <w:tr w:rsidR="00AF16D6" w14:paraId="03D3E1CF" w14:textId="77777777" w:rsidTr="009C7A15">
        <w:tc>
          <w:tcPr>
            <w:tcW w:w="1666" w:type="pct"/>
          </w:tcPr>
          <w:p w14:paraId="2E423FD3" w14:textId="77777777" w:rsidR="00AF16D6" w:rsidRPr="00AF16D6" w:rsidRDefault="00AF16D6" w:rsidP="00AF16D6">
            <w:pPr>
              <w:pStyle w:val="BodyText"/>
              <w:rPr>
                <w:b/>
                <w:bCs w:val="0"/>
              </w:rPr>
            </w:pPr>
            <w:r w:rsidRPr="00AF16D6">
              <w:rPr>
                <w:b/>
                <w:bCs w:val="0"/>
              </w:rPr>
              <w:t>ECP</w:t>
            </w:r>
          </w:p>
        </w:tc>
        <w:tc>
          <w:tcPr>
            <w:tcW w:w="1666" w:type="pct"/>
          </w:tcPr>
          <w:p w14:paraId="3E97604A" w14:textId="05E22EE8" w:rsidR="00AF16D6" w:rsidRDefault="00AF16D6" w:rsidP="00AF16D6">
            <w:pPr>
              <w:pStyle w:val="BodyText"/>
            </w:pPr>
            <w:r>
              <w:t>9</w:t>
            </w:r>
          </w:p>
        </w:tc>
        <w:tc>
          <w:tcPr>
            <w:tcW w:w="1667" w:type="pct"/>
          </w:tcPr>
          <w:p w14:paraId="5055BA2B" w14:textId="23139AEB" w:rsidR="00AF16D6" w:rsidRDefault="00AF16D6" w:rsidP="00AF16D6">
            <w:pPr>
              <w:pStyle w:val="BodyText"/>
            </w:pPr>
            <w:r>
              <w:t>0</w:t>
            </w:r>
          </w:p>
        </w:tc>
      </w:tr>
      <w:tr w:rsidR="00AF16D6" w14:paraId="789A414E" w14:textId="77777777" w:rsidTr="009C7A15">
        <w:tc>
          <w:tcPr>
            <w:tcW w:w="1666" w:type="pct"/>
          </w:tcPr>
          <w:p w14:paraId="728A8209" w14:textId="77777777" w:rsidR="00AF16D6" w:rsidRPr="00AF16D6" w:rsidRDefault="00AF16D6" w:rsidP="00AF16D6">
            <w:pPr>
              <w:pStyle w:val="BodyText"/>
              <w:rPr>
                <w:b/>
                <w:bCs w:val="0"/>
              </w:rPr>
            </w:pPr>
            <w:r w:rsidRPr="00AF16D6">
              <w:rPr>
                <w:b/>
                <w:bCs w:val="0"/>
              </w:rPr>
              <w:t>Implants</w:t>
            </w:r>
          </w:p>
        </w:tc>
        <w:tc>
          <w:tcPr>
            <w:tcW w:w="1666" w:type="pct"/>
          </w:tcPr>
          <w:p w14:paraId="46AB8A2E" w14:textId="745914BD" w:rsidR="00AF16D6" w:rsidRDefault="00AF16D6" w:rsidP="00AF16D6">
            <w:pPr>
              <w:pStyle w:val="BodyText"/>
            </w:pPr>
            <w:r>
              <w:t>8</w:t>
            </w:r>
          </w:p>
        </w:tc>
        <w:tc>
          <w:tcPr>
            <w:tcW w:w="1667" w:type="pct"/>
          </w:tcPr>
          <w:p w14:paraId="3DE0EABE" w14:textId="77777777" w:rsidR="00AF16D6" w:rsidRDefault="00AF16D6" w:rsidP="00AF16D6">
            <w:pPr>
              <w:pStyle w:val="BodyText"/>
            </w:pPr>
            <w:r>
              <w:t>1</w:t>
            </w:r>
          </w:p>
        </w:tc>
      </w:tr>
      <w:tr w:rsidR="00AF16D6" w14:paraId="1CE358B5" w14:textId="77777777" w:rsidTr="009C7A15">
        <w:tc>
          <w:tcPr>
            <w:tcW w:w="1666" w:type="pct"/>
          </w:tcPr>
          <w:p w14:paraId="50C835B6" w14:textId="77777777" w:rsidR="00AF16D6" w:rsidRPr="00AF16D6" w:rsidRDefault="00AF16D6" w:rsidP="00AF16D6">
            <w:pPr>
              <w:pStyle w:val="BodyText"/>
              <w:rPr>
                <w:b/>
                <w:bCs w:val="0"/>
              </w:rPr>
            </w:pPr>
            <w:r w:rsidRPr="00AF16D6">
              <w:rPr>
                <w:b/>
                <w:bCs w:val="0"/>
              </w:rPr>
              <w:t>Injections</w:t>
            </w:r>
          </w:p>
        </w:tc>
        <w:tc>
          <w:tcPr>
            <w:tcW w:w="1666" w:type="pct"/>
          </w:tcPr>
          <w:p w14:paraId="2BC16202" w14:textId="77777777" w:rsidR="00AF16D6" w:rsidRDefault="00AF16D6" w:rsidP="00AF16D6">
            <w:pPr>
              <w:pStyle w:val="BodyText"/>
            </w:pPr>
            <w:r>
              <w:t>8</w:t>
            </w:r>
          </w:p>
        </w:tc>
        <w:tc>
          <w:tcPr>
            <w:tcW w:w="1667" w:type="pct"/>
          </w:tcPr>
          <w:p w14:paraId="34D9A6DE" w14:textId="251A0DB9" w:rsidR="00AF16D6" w:rsidRDefault="00AF16D6" w:rsidP="00AF16D6">
            <w:pPr>
              <w:pStyle w:val="BodyText"/>
            </w:pPr>
            <w:r>
              <w:t>1</w:t>
            </w:r>
          </w:p>
        </w:tc>
      </w:tr>
      <w:tr w:rsidR="00AF16D6" w14:paraId="66E81255" w14:textId="77777777" w:rsidTr="009C7A15">
        <w:tc>
          <w:tcPr>
            <w:tcW w:w="1666" w:type="pct"/>
          </w:tcPr>
          <w:p w14:paraId="58CEEB39" w14:textId="77777777" w:rsidR="00AF16D6" w:rsidRPr="00AF16D6" w:rsidRDefault="00AF16D6" w:rsidP="00AF16D6">
            <w:pPr>
              <w:pStyle w:val="BodyText"/>
              <w:rPr>
                <w:b/>
                <w:bCs w:val="0"/>
              </w:rPr>
            </w:pPr>
            <w:r w:rsidRPr="00AF16D6">
              <w:rPr>
                <w:b/>
                <w:bCs w:val="0"/>
              </w:rPr>
              <w:t>IUDs</w:t>
            </w:r>
          </w:p>
        </w:tc>
        <w:tc>
          <w:tcPr>
            <w:tcW w:w="1666" w:type="pct"/>
          </w:tcPr>
          <w:p w14:paraId="1522D0E3" w14:textId="09169A4F" w:rsidR="00AF16D6" w:rsidRDefault="00AF16D6" w:rsidP="00AF16D6">
            <w:pPr>
              <w:pStyle w:val="BodyText"/>
            </w:pPr>
            <w:r>
              <w:t>6</w:t>
            </w:r>
          </w:p>
        </w:tc>
        <w:tc>
          <w:tcPr>
            <w:tcW w:w="1667" w:type="pct"/>
          </w:tcPr>
          <w:p w14:paraId="73B44C82" w14:textId="77777777" w:rsidR="00AF16D6" w:rsidRDefault="00AF16D6" w:rsidP="00AF16D6">
            <w:pPr>
              <w:pStyle w:val="BodyText"/>
            </w:pPr>
            <w:r>
              <w:t>3</w:t>
            </w:r>
          </w:p>
        </w:tc>
      </w:tr>
      <w:tr w:rsidR="00AF16D6" w14:paraId="3A958C5B" w14:textId="77777777" w:rsidTr="009C7A15">
        <w:tc>
          <w:tcPr>
            <w:tcW w:w="1666" w:type="pct"/>
          </w:tcPr>
          <w:p w14:paraId="70143180" w14:textId="77777777" w:rsidR="00AF16D6" w:rsidRPr="00AF16D6" w:rsidRDefault="00AF16D6" w:rsidP="00AF16D6">
            <w:pPr>
              <w:pStyle w:val="BodyText"/>
              <w:rPr>
                <w:b/>
                <w:bCs w:val="0"/>
              </w:rPr>
            </w:pPr>
            <w:r w:rsidRPr="00AF16D6">
              <w:rPr>
                <w:b/>
                <w:bCs w:val="0"/>
              </w:rPr>
              <w:t>Pills</w:t>
            </w:r>
          </w:p>
        </w:tc>
        <w:tc>
          <w:tcPr>
            <w:tcW w:w="1666" w:type="pct"/>
          </w:tcPr>
          <w:p w14:paraId="51BBE78C" w14:textId="521842EE" w:rsidR="00AF16D6" w:rsidRDefault="00AF16D6" w:rsidP="00AF16D6">
            <w:pPr>
              <w:pStyle w:val="BodyText"/>
            </w:pPr>
            <w:r>
              <w:t>9</w:t>
            </w:r>
          </w:p>
        </w:tc>
        <w:tc>
          <w:tcPr>
            <w:tcW w:w="1667" w:type="pct"/>
          </w:tcPr>
          <w:p w14:paraId="30AEBD01" w14:textId="77777777" w:rsidR="00AF16D6" w:rsidRDefault="00AF16D6" w:rsidP="00AF16D6">
            <w:pPr>
              <w:pStyle w:val="BodyText"/>
            </w:pPr>
            <w:r>
              <w:t>0</w:t>
            </w:r>
          </w:p>
        </w:tc>
      </w:tr>
      <w:tr w:rsidR="00AF16D6" w14:paraId="54337916" w14:textId="77777777" w:rsidTr="009C7A15">
        <w:tc>
          <w:tcPr>
            <w:tcW w:w="1666" w:type="pct"/>
          </w:tcPr>
          <w:p w14:paraId="1636535B" w14:textId="77777777" w:rsidR="00AF16D6" w:rsidRPr="00AF16D6" w:rsidRDefault="00AF16D6" w:rsidP="00AF16D6">
            <w:pPr>
              <w:pStyle w:val="BodyText"/>
              <w:rPr>
                <w:b/>
                <w:bCs w:val="0"/>
              </w:rPr>
            </w:pPr>
            <w:r w:rsidRPr="00AF16D6">
              <w:rPr>
                <w:b/>
                <w:bCs w:val="0"/>
              </w:rPr>
              <w:t>MTOP</w:t>
            </w:r>
          </w:p>
        </w:tc>
        <w:tc>
          <w:tcPr>
            <w:tcW w:w="1666" w:type="pct"/>
          </w:tcPr>
          <w:p w14:paraId="3D288ACC" w14:textId="4BF097D1" w:rsidR="00AF16D6" w:rsidRDefault="00AF16D6" w:rsidP="00AF16D6">
            <w:pPr>
              <w:pStyle w:val="BodyText"/>
            </w:pPr>
            <w:r>
              <w:t>2</w:t>
            </w:r>
          </w:p>
        </w:tc>
        <w:tc>
          <w:tcPr>
            <w:tcW w:w="1667" w:type="pct"/>
          </w:tcPr>
          <w:p w14:paraId="57618B8D" w14:textId="6FF6AA83" w:rsidR="00AF16D6" w:rsidRDefault="00AF16D6" w:rsidP="00AF16D6">
            <w:pPr>
              <w:pStyle w:val="BodyText"/>
            </w:pPr>
            <w:r>
              <w:t>7</w:t>
            </w:r>
          </w:p>
        </w:tc>
      </w:tr>
    </w:tbl>
    <w:p w14:paraId="55B92B2A" w14:textId="77777777" w:rsidR="00AF16D6" w:rsidRDefault="00AF16D6" w:rsidP="00AF16D6">
      <w:pPr>
        <w:pStyle w:val="paragraph"/>
        <w:spacing w:before="0" w:beforeAutospacing="0" w:after="0" w:afterAutospacing="0"/>
        <w:textAlignment w:val="baseline"/>
        <w:rPr>
          <w:rFonts w:ascii="Segoe UI" w:hAnsi="Segoe UI" w:cs="Segoe UI"/>
          <w:b/>
          <w:bCs/>
          <w:sz w:val="18"/>
          <w:szCs w:val="18"/>
        </w:rPr>
      </w:pPr>
    </w:p>
    <w:p w14:paraId="7ACCE0FC" w14:textId="77777777" w:rsidR="00AF16D6" w:rsidRDefault="00AF16D6" w:rsidP="00B16EC1">
      <w:pPr>
        <w:pStyle w:val="paragraph"/>
        <w:spacing w:before="0" w:beforeAutospacing="0" w:after="0" w:afterAutospacing="0"/>
        <w:textAlignment w:val="baseline"/>
        <w:rPr>
          <w:rFonts w:ascii="Segoe UI" w:hAnsi="Segoe UI" w:cs="Segoe UI"/>
          <w:b/>
          <w:bCs/>
          <w:sz w:val="18"/>
          <w:szCs w:val="18"/>
        </w:rPr>
      </w:pPr>
    </w:p>
    <w:p w14:paraId="3CC26297" w14:textId="6BF430CD" w:rsidR="00AF16D6" w:rsidRPr="00AF16D6" w:rsidRDefault="00AF16D6" w:rsidP="00CA3630">
      <w:pPr>
        <w:pStyle w:val="Heading2"/>
      </w:pPr>
      <w:bookmarkStart w:id="8" w:name="_Toc117239959"/>
      <w:r w:rsidRPr="00AF16D6">
        <w:rPr>
          <w:rStyle w:val="normaltextrun"/>
        </w:rPr>
        <w:lastRenderedPageBreak/>
        <w:t>Discussion</w:t>
      </w:r>
      <w:bookmarkEnd w:id="8"/>
      <w:r w:rsidRPr="00AF16D6">
        <w:rPr>
          <w:rStyle w:val="normaltextrun"/>
        </w:rPr>
        <w:t> </w:t>
      </w:r>
      <w:r w:rsidRPr="00AF16D6">
        <w:rPr>
          <w:rStyle w:val="eop"/>
        </w:rPr>
        <w:t> </w:t>
      </w:r>
    </w:p>
    <w:p w14:paraId="084CFE4B" w14:textId="77777777" w:rsidR="00AF16D6" w:rsidRPr="00AF16D6" w:rsidRDefault="00AF16D6" w:rsidP="00AF16D6">
      <w:pPr>
        <w:pStyle w:val="BodyText"/>
        <w:rPr>
          <w:color w:val="auto"/>
          <w:sz w:val="28"/>
          <w:szCs w:val="28"/>
        </w:rPr>
      </w:pPr>
      <w:r w:rsidRPr="00AF16D6">
        <w:rPr>
          <w:rStyle w:val="normaltextrun"/>
        </w:rPr>
        <w:t>There were several limitations in conducting this project. The most notable challenge was recruiting a sufficient number of pharmacies to participate in the survey. Though the majority of pharmacies within the NMR were able to be contacted, roughly a third went on to complete the survey. Pharmacies’ reasons for not completing were often reported as being short-staffed, busy conducting vaccinations or otherwise occupied with clients. Since the majority of pharmacies were contacted between June and July 2022, these difficulties were enhanced with the onset of the flu season and the rising COVID-19 case numbers causing staff shortages across Victoria. </w:t>
      </w:r>
      <w:r w:rsidRPr="00AF16D6">
        <w:rPr>
          <w:rStyle w:val="eop"/>
        </w:rPr>
        <w:t> </w:t>
      </w:r>
    </w:p>
    <w:p w14:paraId="0CC44902" w14:textId="77777777" w:rsidR="00AF16D6" w:rsidRPr="00AF16D6" w:rsidRDefault="00AF16D6" w:rsidP="00AF16D6">
      <w:pPr>
        <w:pStyle w:val="BodyText"/>
        <w:rPr>
          <w:sz w:val="28"/>
          <w:szCs w:val="28"/>
        </w:rPr>
      </w:pPr>
      <w:r w:rsidRPr="00AF16D6">
        <w:rPr>
          <w:rStyle w:val="normaltextrun"/>
        </w:rPr>
        <w:t>Two key strategies were implemented to address these challenges. First, the original script when conducting phone calls was truncated and slightly rephrased to emphasise the survey’s brevity, and to make the initial invitation sound more conversational. This included always trying to use the respondent’s name when possible. Additionally, framing of the project was reworded as a project mapping the products stocked by pharmacists across the NMR as mentioning sexual and reproductive health pharmaceuticals at the beginning of the conversation seemed to deter some potential respondents. The perceived lack of interest from pharmacists following the mention of sexual and reproductive health further demonstrates the need to highlight its importance in the pharmacy sector. Second, WHIN approached the Victorian branch of the Pharmacy Guild of Australia to increase exposure of the study. After receiving approval from The Guild, the project and survey link was advertised in their internal newsletter. Though there was no method of confirming if this increased response numbers, it is likely to have increased credibility of the project which may have persuaded more pharmacies to respond. </w:t>
      </w:r>
      <w:r w:rsidRPr="00AF16D6">
        <w:rPr>
          <w:rStyle w:val="eop"/>
        </w:rPr>
        <w:t> </w:t>
      </w:r>
    </w:p>
    <w:p w14:paraId="61318952" w14:textId="77777777" w:rsidR="00AF16D6" w:rsidRPr="00AF16D6" w:rsidRDefault="00AF16D6" w:rsidP="00AF16D6">
      <w:pPr>
        <w:pStyle w:val="BodyText"/>
        <w:rPr>
          <w:sz w:val="28"/>
          <w:szCs w:val="28"/>
        </w:rPr>
      </w:pPr>
      <w:r w:rsidRPr="00AF16D6">
        <w:rPr>
          <w:rStyle w:val="normaltextrun"/>
        </w:rPr>
        <w:t>Though the response rate for the survey was relatively low, the data we were able to extract is a valuable start in being able to explore the accessibility of sexual and reproductive health pharmaceuticals in the NMR of Melbourne. The LGAs within the NMR vary significantly in population density. It was predicted that inner city LGAs with a high population density may have a lower response rate compared to those in the outer regions. It was presumed that a higher population density would equate to busier pharmacies in that area. However, response rates were not found to have a strong correlation with population density, with both Hume and Yarra having response rates of 36%. Merri-bek was a notable outlier with only a 20% response rate, due in part to two surveys being lost due to technical errors. It is possible that the availability of sexual and reproductive health pharmaceuticals may be underrepresented given the lack of data in densely populated Merri-bek which may be more likely to stock a wide range of products. </w:t>
      </w:r>
      <w:r w:rsidRPr="00AF16D6">
        <w:rPr>
          <w:rStyle w:val="eop"/>
        </w:rPr>
        <w:t> </w:t>
      </w:r>
    </w:p>
    <w:p w14:paraId="446E0673" w14:textId="77777777" w:rsidR="00AF16D6" w:rsidRPr="00AF16D6" w:rsidRDefault="00AF16D6" w:rsidP="00AF16D6">
      <w:pPr>
        <w:pStyle w:val="BodyText"/>
        <w:rPr>
          <w:sz w:val="28"/>
          <w:szCs w:val="28"/>
        </w:rPr>
      </w:pPr>
      <w:r w:rsidRPr="00AF16D6">
        <w:rPr>
          <w:rStyle w:val="normaltextrun"/>
        </w:rPr>
        <w:lastRenderedPageBreak/>
        <w:t>No data was collected on the size of the pharmacies interviewed. It may be the case that smaller pharmacies who were less busy were more likely to answer the phone yet less likely to have certain products in stock compared to their larger counterparts. Despite these limitations, the results of this study provide a valuable overview of the SRH products stocked within each LGA in the NMR. </w:t>
      </w:r>
      <w:r w:rsidRPr="00AF16D6">
        <w:rPr>
          <w:rStyle w:val="eop"/>
        </w:rPr>
        <w:t> </w:t>
      </w:r>
    </w:p>
    <w:p w14:paraId="4BFA46B0" w14:textId="77777777" w:rsidR="00AF16D6" w:rsidRPr="00AF16D6" w:rsidRDefault="00AF16D6" w:rsidP="00AF16D6">
      <w:pPr>
        <w:pStyle w:val="BodyText"/>
        <w:rPr>
          <w:sz w:val="28"/>
          <w:szCs w:val="28"/>
        </w:rPr>
      </w:pPr>
      <w:r w:rsidRPr="00AF16D6">
        <w:rPr>
          <w:rStyle w:val="normaltextrun"/>
        </w:rPr>
        <w:t>Of those who did respond, there were several notable trends in the data collected. All but one pharmacy stocked ECP. While this result is encouraging, the varying responses from pharmacists on restrictions to access ECP may be cause of concern. Since the surveys were conducted verbally and the listed responses were not read aloud, it is possible that some respondents misinterpreted the question or did not provide comprehensive answers due to time pressures in their venue. Pharmacists’ responses varied between respondents with some referring vaguely to pharmacy guidelines and others contradicting previous respondents, citing age restrictions and whether sale can only be made to the intended user. Discrepancies between pharmacies restrictions on ECP access are consistent with other Victorian studies (Hussainy, Stewart &amp; Pham, 2015). These findings are also consistent with a national study that showed that though pharmacists followed a written protocol when dispensing ECP, 13 different protocols were identified (Hussainy et al., 2011). There were very few restrictions placed on prescription sexual and reproductive health medications. This may be because the pharmacist assumes the prescribing doctor has completed the appropriate assessment and upheld their duty of care, absolving the pharmacist of any additional checks. </w:t>
      </w:r>
      <w:r w:rsidRPr="00AF16D6">
        <w:rPr>
          <w:rStyle w:val="eop"/>
        </w:rPr>
        <w:t> </w:t>
      </w:r>
    </w:p>
    <w:p w14:paraId="5B76B0C4" w14:textId="77777777" w:rsidR="00AF16D6" w:rsidRPr="00AF16D6" w:rsidRDefault="00AF16D6" w:rsidP="00AF16D6">
      <w:pPr>
        <w:pStyle w:val="BodyText"/>
        <w:rPr>
          <w:sz w:val="28"/>
          <w:szCs w:val="28"/>
        </w:rPr>
      </w:pPr>
      <w:r w:rsidRPr="00AF16D6">
        <w:rPr>
          <w:rStyle w:val="normaltextrun"/>
        </w:rPr>
        <w:t>The almost complete absence of dental dams in pharmacies is discouraging. This may be explained in part by the lack of emphasis placed on safer sexual practices between women who have sex with women and other persons engaging in anal or vaginal oral sex due to the misconception that these practices are low risk of STI transmission (ASHRA, 2021). Other pharmacies reported that they have ageing populations who do not require sexual and reproductive health pharmaceuticals. This assumption is arguably tied to ageist notions that older adults are not sexual beings and ignores the increasing rates of STIs amongst older persons (Bourchier et al., 2020). This assessment may also be biased given that older persons may attend pharmacies more frequently to access other medications and care, artificially influencing pharmacists’ perception of the area’s demographic profile. There was also a low number of pharmacies who reported that they stocked MTOP medication. Whilst most claimed this was due to lack of training and low demand, there were several pharmacies who noted that they or their pharmacy decision makers were conscientious objectors. Interestingly, there was a brief period during the project following the overturning of Roe v Wade in the United States where respondents seemed more eager to explain that they were not opposed to stocking the medication. The lack of products reported by many pharmacies highlights the need for a greater emphasis in the health sector on the importance of sexual and reproductive health as an area integral to overall health and wellbeing. </w:t>
      </w:r>
      <w:r w:rsidRPr="00AF16D6">
        <w:rPr>
          <w:rStyle w:val="eop"/>
        </w:rPr>
        <w:t> </w:t>
      </w:r>
    </w:p>
    <w:p w14:paraId="4418AD56" w14:textId="77777777" w:rsidR="00AF16D6" w:rsidRDefault="00AF16D6" w:rsidP="00AF16D6">
      <w:pPr>
        <w:pStyle w:val="paragraph"/>
        <w:spacing w:before="0" w:beforeAutospacing="0" w:after="0" w:afterAutospacing="0"/>
        <w:textAlignment w:val="baseline"/>
        <w:rPr>
          <w:rStyle w:val="eop"/>
          <w:rFonts w:ascii="Poppins" w:hAnsi="Poppins" w:cs="Poppins"/>
          <w:b/>
          <w:bCs/>
          <w:color w:val="E10077"/>
          <w:sz w:val="32"/>
          <w:szCs w:val="32"/>
        </w:rPr>
      </w:pPr>
      <w:r w:rsidRPr="00AF16D6">
        <w:rPr>
          <w:rStyle w:val="normaltextrun"/>
          <w:rFonts w:ascii="Poppins" w:hAnsi="Poppins" w:cs="Poppins"/>
          <w:b/>
          <w:bCs/>
          <w:color w:val="5F5F5F" w:themeColor="text2"/>
          <w:sz w:val="32"/>
          <w:szCs w:val="32"/>
        </w:rPr>
        <w:lastRenderedPageBreak/>
        <w:t>Conclusion</w:t>
      </w:r>
      <w:r>
        <w:rPr>
          <w:rStyle w:val="normaltextrun"/>
          <w:rFonts w:ascii="Poppins" w:hAnsi="Poppins" w:cs="Poppins"/>
          <w:b/>
          <w:bCs/>
          <w:color w:val="E10077"/>
          <w:sz w:val="32"/>
          <w:szCs w:val="32"/>
        </w:rPr>
        <w:t> </w:t>
      </w:r>
      <w:r>
        <w:rPr>
          <w:rStyle w:val="eop"/>
          <w:rFonts w:ascii="Poppins" w:hAnsi="Poppins" w:cs="Poppins"/>
          <w:b/>
          <w:bCs/>
          <w:color w:val="E10077"/>
          <w:sz w:val="32"/>
          <w:szCs w:val="32"/>
        </w:rPr>
        <w:t> </w:t>
      </w:r>
    </w:p>
    <w:p w14:paraId="7537D9E1" w14:textId="77777777" w:rsidR="00AF16D6" w:rsidRDefault="00AF16D6" w:rsidP="00CA3630">
      <w:pPr>
        <w:pStyle w:val="paragraph"/>
        <w:spacing w:before="240" w:beforeAutospacing="0" w:after="0" w:afterAutospacing="0"/>
        <w:textAlignment w:val="baseline"/>
        <w:rPr>
          <w:rStyle w:val="eop"/>
          <w:rFonts w:ascii="Poppins" w:hAnsi="Poppins" w:cs="Poppins"/>
          <w:sz w:val="22"/>
          <w:szCs w:val="22"/>
        </w:rPr>
      </w:pPr>
      <w:r w:rsidRPr="00AF16D6">
        <w:rPr>
          <w:rStyle w:val="normaltextrun"/>
          <w:rFonts w:ascii="Poppins" w:hAnsi="Poppins" w:cs="Poppins"/>
          <w:sz w:val="22"/>
          <w:szCs w:val="22"/>
        </w:rPr>
        <w:t>This project highlights the need for improved access to sexual and reproductive health pharmaceuticals in the NMR. Whilst some products, such as emergency contraceptive pills, were widely available, the availability of other products was severely lacking, such as dental dams. </w:t>
      </w:r>
      <w:r w:rsidRPr="00AF16D6">
        <w:rPr>
          <w:rStyle w:val="eop"/>
          <w:rFonts w:ascii="Poppins" w:hAnsi="Poppins" w:cs="Poppins"/>
          <w:sz w:val="22"/>
          <w:szCs w:val="22"/>
        </w:rPr>
        <w:t> </w:t>
      </w:r>
    </w:p>
    <w:p w14:paraId="1157E4AD" w14:textId="77777777" w:rsidR="00AF16D6" w:rsidRDefault="00AF16D6" w:rsidP="00CA3630">
      <w:pPr>
        <w:pStyle w:val="paragraph"/>
        <w:spacing w:before="240" w:beforeAutospacing="0" w:after="0" w:afterAutospacing="0"/>
        <w:textAlignment w:val="baseline"/>
        <w:rPr>
          <w:rStyle w:val="eop"/>
          <w:rFonts w:ascii="Poppins" w:hAnsi="Poppins" w:cs="Poppins"/>
          <w:sz w:val="22"/>
          <w:szCs w:val="22"/>
        </w:rPr>
      </w:pPr>
      <w:r w:rsidRPr="00AF16D6">
        <w:rPr>
          <w:rStyle w:val="normaltextrun"/>
          <w:rFonts w:ascii="Poppins" w:hAnsi="Poppins" w:cs="Poppins"/>
          <w:sz w:val="22"/>
          <w:szCs w:val="22"/>
        </w:rPr>
        <w:t xml:space="preserve">In acquiring this knowledge, WHIN will be able to better understand the barriers women and gender diverse people face when looking to acquire sexual and reproductive health pharmaceuticals in the NMR. Whilst this project sought to map the availability of sexual and reproductive health pharmaceuticals across the NMR, there is a need for future work to expand on this project to generate a larger and more representative sample of pharmacies. In addition, future work ought to explore other factors in accessing sexual and reproductive pharmaceuticals such as </w:t>
      </w:r>
      <w:proofErr w:type="gramStart"/>
      <w:r w:rsidRPr="00AF16D6">
        <w:rPr>
          <w:rStyle w:val="normaltextrun"/>
          <w:rFonts w:ascii="Poppins" w:hAnsi="Poppins" w:cs="Poppins"/>
          <w:sz w:val="22"/>
          <w:szCs w:val="22"/>
        </w:rPr>
        <w:t>cost</w:t>
      </w:r>
      <w:proofErr w:type="gramEnd"/>
      <w:r w:rsidRPr="00AF16D6">
        <w:rPr>
          <w:rStyle w:val="normaltextrun"/>
          <w:rFonts w:ascii="Poppins" w:hAnsi="Poppins" w:cs="Poppins"/>
          <w:sz w:val="22"/>
          <w:szCs w:val="22"/>
        </w:rPr>
        <w:t xml:space="preserve"> and distance needed to travel. A qualitative study exploring pharmacists’ attitudes towards SRH pharmaceuticals and reasons for stocking products would enhance the findings of this study. Whilst the quantitative survey outlined some reasons why products were or were not stocked, a comprehensive explanation from pharmacists was beyond the scope of the study. </w:t>
      </w:r>
      <w:r w:rsidRPr="00AF16D6">
        <w:rPr>
          <w:rStyle w:val="eop"/>
          <w:rFonts w:ascii="Poppins" w:hAnsi="Poppins" w:cs="Poppins"/>
          <w:sz w:val="22"/>
          <w:szCs w:val="22"/>
        </w:rPr>
        <w:t> </w:t>
      </w:r>
    </w:p>
    <w:p w14:paraId="0C5DCF83" w14:textId="77777777" w:rsidR="00AF16D6" w:rsidRDefault="00AF16D6" w:rsidP="00CA3630">
      <w:pPr>
        <w:pStyle w:val="paragraph"/>
        <w:spacing w:before="240" w:beforeAutospacing="0" w:after="0" w:afterAutospacing="0"/>
        <w:textAlignment w:val="baseline"/>
        <w:rPr>
          <w:rStyle w:val="eop"/>
          <w:rFonts w:ascii="Poppins" w:hAnsi="Poppins" w:cs="Poppins"/>
          <w:sz w:val="22"/>
          <w:szCs w:val="22"/>
        </w:rPr>
      </w:pPr>
      <w:r w:rsidRPr="00AF16D6">
        <w:rPr>
          <w:rStyle w:val="normaltextrun"/>
          <w:rFonts w:ascii="Poppins" w:hAnsi="Poppins" w:cs="Poppins"/>
          <w:sz w:val="22"/>
          <w:szCs w:val="22"/>
        </w:rPr>
        <w:t>As the COVID-19 pandemic continues, Victorians are being asked to seek care from primary providers to ease pressures on hospitals. As a result, accessibility and care from pharmacies and pharmacists is increasingly important. </w:t>
      </w:r>
      <w:r w:rsidRPr="00AF16D6">
        <w:rPr>
          <w:rStyle w:val="eop"/>
          <w:rFonts w:ascii="Poppins" w:hAnsi="Poppins" w:cs="Poppins"/>
          <w:sz w:val="22"/>
          <w:szCs w:val="22"/>
        </w:rPr>
        <w:t> </w:t>
      </w:r>
    </w:p>
    <w:p w14:paraId="509589F6" w14:textId="77777777" w:rsidR="00AF16D6" w:rsidRDefault="00AF16D6" w:rsidP="00CA3630">
      <w:pPr>
        <w:pStyle w:val="paragraph"/>
        <w:spacing w:before="240" w:beforeAutospacing="0" w:after="0" w:afterAutospacing="0"/>
        <w:textAlignment w:val="baseline"/>
        <w:rPr>
          <w:rStyle w:val="eop"/>
          <w:rFonts w:ascii="Poppins" w:hAnsi="Poppins" w:cs="Poppins"/>
          <w:sz w:val="22"/>
          <w:szCs w:val="22"/>
        </w:rPr>
      </w:pPr>
      <w:r w:rsidRPr="00AF16D6">
        <w:rPr>
          <w:rStyle w:val="normaltextrun"/>
          <w:rFonts w:ascii="Poppins" w:hAnsi="Poppins" w:cs="Poppins"/>
          <w:sz w:val="22"/>
          <w:szCs w:val="22"/>
        </w:rPr>
        <w:t xml:space="preserve">For some women and gender diverse persons, acquiring sexual and reproductive health pharmaceuticals may be a daunting task. For those who may already be hesitant or uncomfortable purchasing sexual and reproductive health pharmaceuticals, any additional hurdles such as having to go to multiple pharmacies to try to locate their desired product or waiting until the next day may be a harmful deterrent. More work ought to be done </w:t>
      </w:r>
      <w:proofErr w:type="gramStart"/>
      <w:r w:rsidRPr="00AF16D6">
        <w:rPr>
          <w:rStyle w:val="normaltextrun"/>
          <w:rFonts w:ascii="Poppins" w:hAnsi="Poppins" w:cs="Poppins"/>
          <w:sz w:val="22"/>
          <w:szCs w:val="22"/>
        </w:rPr>
        <w:t>in order to</w:t>
      </w:r>
      <w:proofErr w:type="gramEnd"/>
      <w:r w:rsidRPr="00AF16D6">
        <w:rPr>
          <w:rStyle w:val="normaltextrun"/>
          <w:rFonts w:ascii="Poppins" w:hAnsi="Poppins" w:cs="Poppins"/>
          <w:sz w:val="22"/>
          <w:szCs w:val="22"/>
        </w:rPr>
        <w:t xml:space="preserve"> ensure that persons are able to acquire adequate care and resources from their local pharmacy. </w:t>
      </w:r>
      <w:r w:rsidRPr="00AF16D6">
        <w:rPr>
          <w:rStyle w:val="eop"/>
          <w:rFonts w:ascii="Poppins" w:hAnsi="Poppins" w:cs="Poppins"/>
          <w:sz w:val="22"/>
          <w:szCs w:val="22"/>
        </w:rPr>
        <w:t> </w:t>
      </w:r>
    </w:p>
    <w:p w14:paraId="10716DEA" w14:textId="77777777" w:rsidR="00CA3630" w:rsidRDefault="00CA3630" w:rsidP="00CA3630">
      <w:pPr>
        <w:pStyle w:val="Heading3"/>
        <w:rPr>
          <w:rStyle w:val="eop"/>
          <w:sz w:val="22"/>
          <w:szCs w:val="22"/>
        </w:rPr>
      </w:pPr>
    </w:p>
    <w:p w14:paraId="74CF541A" w14:textId="282AE3C9" w:rsidR="00AF16D6" w:rsidRDefault="00AF16D6" w:rsidP="00CA3630">
      <w:pPr>
        <w:pStyle w:val="Heading3"/>
        <w:rPr>
          <w:rStyle w:val="eop"/>
          <w:sz w:val="22"/>
          <w:szCs w:val="22"/>
        </w:rPr>
      </w:pPr>
      <w:r w:rsidRPr="00AF16D6">
        <w:rPr>
          <w:rStyle w:val="eop"/>
          <w:sz w:val="22"/>
          <w:szCs w:val="22"/>
        </w:rPr>
        <w:t>Recommendations</w:t>
      </w:r>
    </w:p>
    <w:p w14:paraId="1626244C" w14:textId="77777777" w:rsidR="00AF16D6" w:rsidRDefault="00AF16D6" w:rsidP="00CA3630">
      <w:pPr>
        <w:pStyle w:val="paragraph"/>
        <w:spacing w:before="240" w:beforeAutospacing="0" w:after="0" w:afterAutospacing="0"/>
        <w:textAlignment w:val="baseline"/>
        <w:rPr>
          <w:rStyle w:val="eop"/>
          <w:rFonts w:ascii="Poppins" w:hAnsi="Poppins" w:cs="Poppins"/>
          <w:sz w:val="22"/>
          <w:szCs w:val="22"/>
        </w:rPr>
      </w:pPr>
      <w:r w:rsidRPr="00AF16D6">
        <w:rPr>
          <w:rStyle w:val="normaltextrun"/>
          <w:rFonts w:ascii="Poppins" w:hAnsi="Poppins" w:cs="Poppins"/>
          <w:sz w:val="22"/>
          <w:szCs w:val="22"/>
        </w:rPr>
        <w:t>Recommendations for future work to promote sexual and reproductive health pharmaceutical access include:</w:t>
      </w:r>
      <w:r w:rsidRPr="00AF16D6">
        <w:rPr>
          <w:rStyle w:val="eop"/>
          <w:rFonts w:ascii="Poppins" w:hAnsi="Poppins" w:cs="Poppins"/>
          <w:sz w:val="22"/>
          <w:szCs w:val="22"/>
        </w:rPr>
        <w:t> </w:t>
      </w:r>
    </w:p>
    <w:p w14:paraId="6584287C" w14:textId="77777777" w:rsidR="00AF16D6" w:rsidRDefault="00AF16D6" w:rsidP="00CA3630">
      <w:pPr>
        <w:pStyle w:val="paragraph"/>
        <w:numPr>
          <w:ilvl w:val="0"/>
          <w:numId w:val="48"/>
        </w:numPr>
        <w:spacing w:before="0" w:beforeAutospacing="0" w:after="0" w:afterAutospacing="0"/>
        <w:textAlignment w:val="baseline"/>
        <w:rPr>
          <w:rStyle w:val="eop"/>
          <w:rFonts w:ascii="Poppins" w:hAnsi="Poppins" w:cs="Poppins"/>
          <w:sz w:val="22"/>
          <w:szCs w:val="22"/>
        </w:rPr>
      </w:pPr>
      <w:r w:rsidRPr="00AF16D6">
        <w:rPr>
          <w:rStyle w:val="normaltextrun"/>
          <w:rFonts w:ascii="Poppins" w:hAnsi="Poppins" w:cs="Poppins"/>
          <w:sz w:val="22"/>
          <w:szCs w:val="22"/>
        </w:rPr>
        <w:t>Training pharmacists to build their capacity and confidence in discussing sexual and reproductive health with clients, and providing appropriate, timely care to persons seeking support</w:t>
      </w:r>
      <w:r w:rsidRPr="00AF16D6">
        <w:rPr>
          <w:rStyle w:val="eop"/>
          <w:rFonts w:ascii="Poppins" w:hAnsi="Poppins" w:cs="Poppins"/>
          <w:sz w:val="22"/>
          <w:szCs w:val="22"/>
        </w:rPr>
        <w:t> </w:t>
      </w:r>
    </w:p>
    <w:p w14:paraId="331587AE" w14:textId="77777777" w:rsidR="00AF16D6" w:rsidRDefault="00AF16D6" w:rsidP="00CA3630">
      <w:pPr>
        <w:pStyle w:val="paragraph"/>
        <w:numPr>
          <w:ilvl w:val="0"/>
          <w:numId w:val="48"/>
        </w:numPr>
        <w:spacing w:before="0" w:beforeAutospacing="0" w:after="0" w:afterAutospacing="0"/>
        <w:textAlignment w:val="baseline"/>
        <w:rPr>
          <w:rStyle w:val="eop"/>
          <w:rFonts w:ascii="Poppins" w:hAnsi="Poppins" w:cs="Poppins"/>
          <w:sz w:val="22"/>
          <w:szCs w:val="22"/>
        </w:rPr>
      </w:pPr>
      <w:r w:rsidRPr="00AF16D6">
        <w:rPr>
          <w:rStyle w:val="normaltextrun"/>
          <w:rFonts w:ascii="Poppins" w:hAnsi="Poppins" w:cs="Poppins"/>
          <w:sz w:val="22"/>
          <w:szCs w:val="22"/>
        </w:rPr>
        <w:t>Improving consistency and transparency of pharmacy guidelines on sexual and reproductive health service provision</w:t>
      </w:r>
      <w:r w:rsidRPr="00AF16D6">
        <w:rPr>
          <w:rStyle w:val="eop"/>
          <w:rFonts w:ascii="Poppins" w:hAnsi="Poppins" w:cs="Poppins"/>
          <w:sz w:val="22"/>
          <w:szCs w:val="22"/>
        </w:rPr>
        <w:t> </w:t>
      </w:r>
    </w:p>
    <w:p w14:paraId="6B82A727" w14:textId="3E73210F" w:rsidR="00AF16D6" w:rsidRPr="00CA3630" w:rsidRDefault="00AF16D6" w:rsidP="00AF16D6">
      <w:pPr>
        <w:pStyle w:val="paragraph"/>
        <w:numPr>
          <w:ilvl w:val="0"/>
          <w:numId w:val="48"/>
        </w:numPr>
        <w:spacing w:before="0" w:beforeAutospacing="0" w:after="0" w:afterAutospacing="0"/>
        <w:textAlignment w:val="baseline"/>
        <w:rPr>
          <w:rFonts w:ascii="Poppins" w:hAnsi="Poppins" w:cs="Poppins"/>
          <w:sz w:val="22"/>
          <w:szCs w:val="22"/>
        </w:rPr>
      </w:pPr>
      <w:r w:rsidRPr="00AF16D6">
        <w:rPr>
          <w:rStyle w:val="normaltextrun"/>
          <w:rFonts w:ascii="Poppins" w:hAnsi="Poppins" w:cs="Poppins"/>
          <w:sz w:val="22"/>
          <w:szCs w:val="22"/>
        </w:rPr>
        <w:t>Establishing clearer referral pathways for pharmacists to refer clients to another provider if they are unable to provide adequate care. </w:t>
      </w:r>
      <w:r w:rsidRPr="00AF16D6">
        <w:rPr>
          <w:rStyle w:val="eop"/>
          <w:rFonts w:ascii="Poppins" w:hAnsi="Poppins" w:cs="Poppins"/>
          <w:sz w:val="22"/>
          <w:szCs w:val="22"/>
        </w:rPr>
        <w:t> </w:t>
      </w:r>
    </w:p>
    <w:p w14:paraId="7FD82261" w14:textId="66C40DC5" w:rsidR="00654125" w:rsidRPr="00AF16D6" w:rsidRDefault="00285181" w:rsidP="00CA3630">
      <w:pPr>
        <w:pStyle w:val="Heading2"/>
      </w:pPr>
      <w:bookmarkStart w:id="9" w:name="_Toc117239960"/>
      <w:r w:rsidRPr="00AF16D6">
        <w:lastRenderedPageBreak/>
        <w:t>Reference</w:t>
      </w:r>
      <w:r w:rsidR="00D0751E" w:rsidRPr="00AF16D6">
        <w:t>s</w:t>
      </w:r>
      <w:bookmarkEnd w:id="9"/>
    </w:p>
    <w:p w14:paraId="67ED298C" w14:textId="77777777" w:rsidR="00AF16D6" w:rsidRPr="00AF16D6" w:rsidRDefault="00AF16D6" w:rsidP="00AF16D6">
      <w:pPr>
        <w:pStyle w:val="BodyText"/>
        <w:rPr>
          <w:rFonts w:ascii="Segoe UI" w:hAnsi="Segoe UI" w:cs="Segoe UI"/>
          <w:sz w:val="21"/>
          <w:szCs w:val="21"/>
        </w:rPr>
      </w:pPr>
      <w:r w:rsidRPr="00AF16D6">
        <w:rPr>
          <w:rStyle w:val="normaltextrun"/>
        </w:rPr>
        <w:t>Alexandra J. Hawkey, Jane M. Ussher &amp; Janette Perz (2021): What do women want? Migrant and refugee women’s preferences for the delivery of sexual and reproductive healthcare and information, Ethnicity &amp; Health, DOI: 10.1080/13557858.2021.1980772</w:t>
      </w:r>
      <w:r w:rsidRPr="00AF16D6">
        <w:rPr>
          <w:rStyle w:val="eop"/>
        </w:rPr>
        <w:t> </w:t>
      </w:r>
    </w:p>
    <w:p w14:paraId="105FC0E5" w14:textId="77777777" w:rsidR="00AF16D6" w:rsidRPr="00AF16D6" w:rsidRDefault="00AF16D6" w:rsidP="00AF16D6">
      <w:pPr>
        <w:pStyle w:val="BodyText"/>
        <w:rPr>
          <w:rFonts w:ascii="Segoe UI" w:hAnsi="Segoe UI" w:cs="Segoe UI"/>
          <w:sz w:val="21"/>
          <w:szCs w:val="21"/>
        </w:rPr>
      </w:pPr>
      <w:r w:rsidRPr="00AF16D6">
        <w:rPr>
          <w:rStyle w:val="normaltextrun"/>
        </w:rPr>
        <w:t xml:space="preserve">Australasian sexual and reproductive health alliance (ASRHA). (2021). Australian STI management guidelines: Women who have sex with women. </w:t>
      </w:r>
      <w:hyperlink r:id="rId15" w:tgtFrame="_blank" w:history="1">
        <w:r w:rsidRPr="00AF16D6">
          <w:rPr>
            <w:rStyle w:val="normaltextrun"/>
            <w:u w:val="single"/>
          </w:rPr>
          <w:t>https://sti.guidelines.org.au/populations-and-situations/women-who-have-sex-with-women/</w:t>
        </w:r>
      </w:hyperlink>
      <w:r w:rsidRPr="00AF16D6">
        <w:rPr>
          <w:rStyle w:val="normaltextrun"/>
          <w:rFonts w:ascii="Times New Roman" w:hAnsi="Times New Roman" w:cs="Times New Roman"/>
        </w:rPr>
        <w:t>  </w:t>
      </w:r>
      <w:r w:rsidRPr="00AF16D6">
        <w:rPr>
          <w:rStyle w:val="eop"/>
        </w:rPr>
        <w:t> </w:t>
      </w:r>
    </w:p>
    <w:p w14:paraId="4477CD49" w14:textId="77777777" w:rsidR="00AF16D6" w:rsidRPr="00AF16D6" w:rsidRDefault="00AF16D6" w:rsidP="00AF16D6">
      <w:pPr>
        <w:pStyle w:val="BodyText"/>
      </w:pPr>
      <w:r w:rsidRPr="00AF16D6">
        <w:rPr>
          <w:rStyle w:val="normaltextrun"/>
        </w:rPr>
        <w:t xml:space="preserve">Australian Bureau of Statistics. (June 2020). </w:t>
      </w:r>
      <w:hyperlink r:id="rId16" w:tgtFrame="_blank" w:history="1">
        <w:r w:rsidRPr="00AF16D6">
          <w:rPr>
            <w:rStyle w:val="normaltextrun"/>
          </w:rPr>
          <w:t>Data By Region</w:t>
        </w:r>
      </w:hyperlink>
      <w:r w:rsidRPr="00AF16D6">
        <w:rPr>
          <w:rStyle w:val="normaltextrun"/>
          <w:i/>
          <w:iCs/>
        </w:rPr>
        <w:t>,</w:t>
      </w:r>
      <w:r w:rsidRPr="00AF16D6">
        <w:rPr>
          <w:rStyle w:val="normaltextrun"/>
          <w:rFonts w:ascii="Times New Roman" w:hAnsi="Times New Roman" w:cs="Times New Roman"/>
          <w:i/>
          <w:iCs/>
        </w:rPr>
        <w:t> </w:t>
      </w:r>
      <w:r w:rsidRPr="00AF16D6">
        <w:rPr>
          <w:rStyle w:val="normaltextrun"/>
        </w:rPr>
        <w:t>ABS Website, accessed 11</w:t>
      </w:r>
      <w:r w:rsidRPr="00AF16D6">
        <w:rPr>
          <w:rStyle w:val="normaltextrun"/>
          <w:rFonts w:ascii="Times New Roman" w:hAnsi="Times New Roman" w:cs="Times New Roman"/>
        </w:rPr>
        <w:t> </w:t>
      </w:r>
      <w:r w:rsidRPr="00AF16D6">
        <w:rPr>
          <w:rStyle w:val="normaltextrun"/>
        </w:rPr>
        <w:t>July 2022</w:t>
      </w:r>
      <w:r w:rsidRPr="00AF16D6">
        <w:rPr>
          <w:rStyle w:val="eop"/>
        </w:rPr>
        <w:t> </w:t>
      </w:r>
    </w:p>
    <w:p w14:paraId="430B36EC" w14:textId="77777777" w:rsidR="00AF16D6" w:rsidRPr="00AF16D6" w:rsidRDefault="00AF16D6" w:rsidP="00AF16D6">
      <w:pPr>
        <w:pStyle w:val="BodyText"/>
        <w:rPr>
          <w:rFonts w:ascii="Segoe UI" w:hAnsi="Segoe UI" w:cs="Segoe UI"/>
          <w:sz w:val="21"/>
          <w:szCs w:val="21"/>
        </w:rPr>
      </w:pPr>
      <w:r w:rsidRPr="00AF16D6">
        <w:rPr>
          <w:rStyle w:val="normaltextrun"/>
        </w:rPr>
        <w:t xml:space="preserve">Cashman, C., Downing, S. G., &amp; Russell, D. (2021). Women's experiences of accessing a medical termination of pregnancy through a Queensland regional sexual health service: a qualitative study. </w:t>
      </w:r>
      <w:r w:rsidRPr="00AF16D6">
        <w:rPr>
          <w:rStyle w:val="normaltextrun"/>
          <w:i/>
          <w:iCs/>
        </w:rPr>
        <w:t>Sex Health, 18</w:t>
      </w:r>
      <w:r w:rsidRPr="00AF16D6">
        <w:rPr>
          <w:rStyle w:val="normaltextrun"/>
        </w:rPr>
        <w:t xml:space="preserve">(3), 232-238. </w:t>
      </w:r>
      <w:hyperlink r:id="rId17" w:tgtFrame="_blank" w:history="1">
        <w:r w:rsidRPr="00AF16D6">
          <w:rPr>
            <w:rStyle w:val="normaltextrun"/>
            <w:color w:val="0000FF"/>
            <w:u w:val="single"/>
          </w:rPr>
          <w:t>doi:https://dx.doi.org/10.1071/SH20220</w:t>
        </w:r>
      </w:hyperlink>
      <w:r w:rsidRPr="00AF16D6">
        <w:rPr>
          <w:rStyle w:val="eop"/>
        </w:rPr>
        <w:t> </w:t>
      </w:r>
    </w:p>
    <w:p w14:paraId="2046C790" w14:textId="77777777" w:rsidR="00AF16D6" w:rsidRPr="00AF16D6" w:rsidRDefault="00AF16D6" w:rsidP="00AF16D6">
      <w:pPr>
        <w:pStyle w:val="BodyText"/>
        <w:rPr>
          <w:rFonts w:ascii="Segoe UI" w:hAnsi="Segoe UI" w:cs="Segoe UI"/>
          <w:sz w:val="21"/>
          <w:szCs w:val="21"/>
        </w:rPr>
      </w:pPr>
      <w:r w:rsidRPr="00AF16D6">
        <w:rPr>
          <w:rStyle w:val="normaltextrun"/>
        </w:rPr>
        <w:t>Coombe, J., Kong, F. Y. S., Bittleston, H., Williams, H., Tomnay, J., Vaisey, A., ... &amp; Hocking, J. S. (2021). Love during lockdown: findings from an online survey examining the impact of COVID-19 on the sexual health of people living in Australia.</w:t>
      </w:r>
      <w:r w:rsidRPr="00AF16D6">
        <w:rPr>
          <w:rStyle w:val="normaltextrun"/>
          <w:rFonts w:ascii="Times New Roman" w:hAnsi="Times New Roman" w:cs="Times New Roman"/>
        </w:rPr>
        <w:t> </w:t>
      </w:r>
      <w:r w:rsidRPr="00AF16D6">
        <w:rPr>
          <w:rStyle w:val="normaltextrun"/>
          <w:i/>
          <w:iCs/>
        </w:rPr>
        <w:t>Sexually transmitted infections</w:t>
      </w:r>
      <w:r w:rsidRPr="00AF16D6">
        <w:rPr>
          <w:rStyle w:val="normaltextrun"/>
        </w:rPr>
        <w:t>,</w:t>
      </w:r>
      <w:r w:rsidRPr="00AF16D6">
        <w:rPr>
          <w:rStyle w:val="normaltextrun"/>
          <w:rFonts w:ascii="Times New Roman" w:hAnsi="Times New Roman" w:cs="Times New Roman"/>
        </w:rPr>
        <w:t> </w:t>
      </w:r>
      <w:r w:rsidRPr="00AF16D6">
        <w:rPr>
          <w:rStyle w:val="normaltextrun"/>
          <w:i/>
          <w:iCs/>
        </w:rPr>
        <w:t>97</w:t>
      </w:r>
      <w:r w:rsidRPr="00AF16D6">
        <w:rPr>
          <w:rStyle w:val="normaltextrun"/>
        </w:rPr>
        <w:t>(5), 357-362.</w:t>
      </w:r>
      <w:r w:rsidRPr="00AF16D6">
        <w:rPr>
          <w:rStyle w:val="eop"/>
        </w:rPr>
        <w:t> </w:t>
      </w:r>
    </w:p>
    <w:p w14:paraId="5662B242" w14:textId="77777777" w:rsidR="00AF16D6" w:rsidRPr="00AF16D6" w:rsidRDefault="00AF16D6" w:rsidP="00AF16D6">
      <w:pPr>
        <w:pStyle w:val="BodyText"/>
        <w:rPr>
          <w:rFonts w:ascii="Segoe UI" w:hAnsi="Segoe UI" w:cs="Segoe UI"/>
          <w:sz w:val="21"/>
          <w:szCs w:val="21"/>
        </w:rPr>
      </w:pPr>
      <w:r w:rsidRPr="00AF16D6">
        <w:rPr>
          <w:rStyle w:val="normaltextrun"/>
        </w:rPr>
        <w:t>Department of Health and Human Services (2017), Women’s sexual and reproductive health Key priorities 2017-2020, Department of Health and Human Services, Melbourne https://www2.health.vic.gov.au/about/publications/policiesandguidelines/womens-sexual-health-key- priorities </w:t>
      </w:r>
      <w:r w:rsidRPr="00AF16D6">
        <w:rPr>
          <w:rStyle w:val="eop"/>
        </w:rPr>
        <w:t> </w:t>
      </w:r>
    </w:p>
    <w:p w14:paraId="235D6ABD" w14:textId="77777777" w:rsidR="00AF16D6" w:rsidRPr="00AF16D6" w:rsidRDefault="00AF16D6" w:rsidP="00AF16D6">
      <w:pPr>
        <w:pStyle w:val="BodyText"/>
        <w:rPr>
          <w:rFonts w:ascii="Segoe UI" w:hAnsi="Segoe UI" w:cs="Segoe UI"/>
          <w:sz w:val="21"/>
          <w:szCs w:val="21"/>
        </w:rPr>
      </w:pPr>
      <w:r w:rsidRPr="00AF16D6">
        <w:rPr>
          <w:rStyle w:val="normaltextrun"/>
        </w:rPr>
        <w:t>Downing, S. G., Payze, C., Doyle-Adams, S., &amp; Gorton, C. (2011). Emergency contraception over-the-counter: practices and attitudes of pharmacists and pharmacy assistants in far North Queensland. Aust N Z J Obstet Gynaecol, 51(6), 527-531. doi:10.1111/j.1479-828X.2011.01347.x</w:t>
      </w:r>
      <w:r w:rsidRPr="00AF16D6">
        <w:rPr>
          <w:rStyle w:val="eop"/>
        </w:rPr>
        <w:t> </w:t>
      </w:r>
    </w:p>
    <w:p w14:paraId="51D4A98E" w14:textId="77777777" w:rsidR="00AF16D6" w:rsidRPr="00AF16D6" w:rsidRDefault="00AF16D6" w:rsidP="00AF16D6">
      <w:pPr>
        <w:pStyle w:val="BodyText"/>
        <w:rPr>
          <w:rFonts w:ascii="Segoe UI" w:hAnsi="Segoe UI" w:cs="Segoe UI"/>
          <w:sz w:val="21"/>
          <w:szCs w:val="21"/>
        </w:rPr>
      </w:pPr>
      <w:r w:rsidRPr="00AF16D6">
        <w:rPr>
          <w:rStyle w:val="normaltextrun"/>
        </w:rPr>
        <w:t xml:space="preserve">Gonsalves, L., &amp; Hindin, M. J. (2017). Pharmacy provision of sexual and reproductive health commodities to young people: a systematic literature review and synthesis of the evidence. </w:t>
      </w:r>
      <w:r w:rsidRPr="00AF16D6">
        <w:rPr>
          <w:rStyle w:val="normaltextrun"/>
          <w:i/>
          <w:iCs/>
        </w:rPr>
        <w:t>Contraception</w:t>
      </w:r>
      <w:r w:rsidRPr="00AF16D6">
        <w:rPr>
          <w:rStyle w:val="normaltextrun"/>
        </w:rPr>
        <w:t xml:space="preserve">, </w:t>
      </w:r>
      <w:r w:rsidRPr="00AF16D6">
        <w:rPr>
          <w:rStyle w:val="normaltextrun"/>
          <w:i/>
          <w:iCs/>
        </w:rPr>
        <w:t>95</w:t>
      </w:r>
      <w:r w:rsidRPr="00AF16D6">
        <w:rPr>
          <w:rStyle w:val="normaltextrun"/>
        </w:rPr>
        <w:t>(4), 339-363.</w:t>
      </w:r>
      <w:r w:rsidRPr="00AF16D6">
        <w:rPr>
          <w:rStyle w:val="eop"/>
        </w:rPr>
        <w:t> </w:t>
      </w:r>
    </w:p>
    <w:p w14:paraId="66797EB5" w14:textId="77777777" w:rsidR="00AF16D6" w:rsidRPr="00AF16D6" w:rsidRDefault="00AF16D6" w:rsidP="00AF16D6">
      <w:pPr>
        <w:pStyle w:val="BodyText"/>
        <w:rPr>
          <w:rFonts w:ascii="Segoe UI" w:hAnsi="Segoe UI" w:cs="Segoe UI"/>
          <w:sz w:val="21"/>
          <w:szCs w:val="21"/>
        </w:rPr>
      </w:pPr>
      <w:r w:rsidRPr="00AF16D6">
        <w:rPr>
          <w:rStyle w:val="normaltextrun"/>
        </w:rPr>
        <w:t>Gippsland Women’s Health. (2018). Gippsland Sexual and reproductive health pharmaceuticals: A quantitative report of the sexual and reproductive pharmaceuticals provided by 48 Pharmacies in Gippsland </w:t>
      </w:r>
      <w:r w:rsidRPr="00AF16D6">
        <w:rPr>
          <w:rStyle w:val="eop"/>
        </w:rPr>
        <w:t> </w:t>
      </w:r>
    </w:p>
    <w:p w14:paraId="5DFEC297" w14:textId="77777777" w:rsidR="00AF16D6" w:rsidRPr="00AF16D6" w:rsidRDefault="00AF16D6" w:rsidP="00AF16D6">
      <w:pPr>
        <w:pStyle w:val="BodyText"/>
        <w:rPr>
          <w:rFonts w:ascii="Segoe UI" w:hAnsi="Segoe UI" w:cs="Segoe UI"/>
          <w:sz w:val="21"/>
          <w:szCs w:val="21"/>
        </w:rPr>
      </w:pPr>
      <w:r w:rsidRPr="00AF16D6">
        <w:rPr>
          <w:rStyle w:val="normaltextrun"/>
        </w:rPr>
        <w:t>Health Direct. (n.d).</w:t>
      </w:r>
      <w:r w:rsidRPr="00AF16D6">
        <w:rPr>
          <w:rStyle w:val="normaltextrun"/>
          <w:i/>
          <w:iCs/>
        </w:rPr>
        <w:t xml:space="preserve"> Brand name: Mirena. </w:t>
      </w:r>
      <w:r w:rsidRPr="00AF16D6">
        <w:rPr>
          <w:rStyle w:val="normaltextrun"/>
        </w:rPr>
        <w:t>Retrieved 18 August 2022 from https://www.healthdirect.gov.au/medicines/brand/amt,51946011000036109/mirena</w:t>
      </w:r>
      <w:r w:rsidRPr="00AF16D6">
        <w:rPr>
          <w:rStyle w:val="eop"/>
        </w:rPr>
        <w:t> </w:t>
      </w:r>
    </w:p>
    <w:p w14:paraId="117BF6B9" w14:textId="77777777" w:rsidR="00AF16D6" w:rsidRPr="00AF16D6" w:rsidRDefault="00AF16D6" w:rsidP="00AF16D6">
      <w:pPr>
        <w:pStyle w:val="BodyText"/>
        <w:rPr>
          <w:rFonts w:ascii="Segoe UI" w:hAnsi="Segoe UI" w:cs="Segoe UI"/>
          <w:sz w:val="21"/>
          <w:szCs w:val="21"/>
        </w:rPr>
      </w:pPr>
      <w:r w:rsidRPr="00AF16D6">
        <w:rPr>
          <w:rStyle w:val="normaltextrun"/>
        </w:rPr>
        <w:t xml:space="preserve">Health Direct. (n.d). </w:t>
      </w:r>
      <w:r w:rsidRPr="00AF16D6">
        <w:rPr>
          <w:rStyle w:val="normaltextrun"/>
          <w:i/>
          <w:iCs/>
        </w:rPr>
        <w:t xml:space="preserve">Find a heath service. </w:t>
      </w:r>
      <w:r w:rsidRPr="00AF16D6">
        <w:rPr>
          <w:rStyle w:val="normaltextrun"/>
        </w:rPr>
        <w:t>Retrieved 28 March 2022, from https://www.healthdirect.gov.au/australian-health-services</w:t>
      </w:r>
      <w:r w:rsidRPr="00AF16D6">
        <w:rPr>
          <w:rStyle w:val="eop"/>
        </w:rPr>
        <w:t> </w:t>
      </w:r>
    </w:p>
    <w:p w14:paraId="5BB4BED8" w14:textId="77777777" w:rsidR="00AF16D6" w:rsidRPr="00AF16D6" w:rsidRDefault="00AF16D6" w:rsidP="00AF16D6">
      <w:pPr>
        <w:pStyle w:val="BodyText"/>
        <w:rPr>
          <w:rFonts w:ascii="Segoe UI" w:hAnsi="Segoe UI" w:cs="Segoe UI"/>
          <w:sz w:val="21"/>
          <w:szCs w:val="21"/>
        </w:rPr>
      </w:pPr>
      <w:r w:rsidRPr="00AF16D6">
        <w:rPr>
          <w:rStyle w:val="normaltextrun"/>
        </w:rPr>
        <w:lastRenderedPageBreak/>
        <w:t>Hussainy SY</w:t>
      </w:r>
      <w:r w:rsidRPr="00AF16D6">
        <w:rPr>
          <w:rStyle w:val="normaltextrun"/>
          <w:i/>
          <w:iCs/>
        </w:rPr>
        <w:t xml:space="preserve">, </w:t>
      </w:r>
      <w:r w:rsidRPr="00AF16D6">
        <w:rPr>
          <w:rStyle w:val="normaltextrun"/>
        </w:rPr>
        <w:t>Stewart K</w:t>
      </w:r>
      <w:r w:rsidRPr="00AF16D6">
        <w:rPr>
          <w:rStyle w:val="normaltextrun"/>
          <w:i/>
          <w:iCs/>
        </w:rPr>
        <w:t xml:space="preserve">, </w:t>
      </w:r>
      <w:r w:rsidRPr="00AF16D6">
        <w:rPr>
          <w:rStyle w:val="normaltextrun"/>
        </w:rPr>
        <w:t>Chapman CB</w:t>
      </w:r>
      <w:r w:rsidRPr="00AF16D6">
        <w:rPr>
          <w:rStyle w:val="normaltextrun"/>
          <w:i/>
          <w:iCs/>
        </w:rPr>
        <w:t xml:space="preserve"> et</w:t>
      </w:r>
      <w:r w:rsidRPr="00AF16D6">
        <w:rPr>
          <w:rStyle w:val="normaltextrun"/>
          <w:rFonts w:ascii="Times New Roman" w:hAnsi="Times New Roman" w:cs="Times New Roman"/>
          <w:i/>
          <w:iCs/>
        </w:rPr>
        <w:t> </w:t>
      </w:r>
      <w:r w:rsidRPr="00AF16D6">
        <w:rPr>
          <w:rStyle w:val="normaltextrun"/>
          <w:i/>
          <w:iCs/>
        </w:rPr>
        <w:t xml:space="preserve">al </w:t>
      </w:r>
      <w:r w:rsidRPr="00AF16D6">
        <w:rPr>
          <w:rStyle w:val="normaltextrun"/>
        </w:rPr>
        <w:t>(2011). </w:t>
      </w:r>
      <w:r w:rsidRPr="00AF16D6">
        <w:rPr>
          <w:rStyle w:val="normaltextrun"/>
          <w:i/>
          <w:iCs/>
        </w:rPr>
        <w:t xml:space="preserve"> </w:t>
      </w:r>
      <w:r w:rsidRPr="00AF16D6">
        <w:rPr>
          <w:rStyle w:val="normaltextrun"/>
        </w:rPr>
        <w:t>Provision of emergency contraception without prescription: attitudes and practices of pharmacists in Australia</w:t>
      </w:r>
      <w:r w:rsidRPr="00AF16D6">
        <w:rPr>
          <w:rStyle w:val="normaltextrun"/>
          <w:i/>
          <w:iCs/>
        </w:rPr>
        <w:t xml:space="preserve">. </w:t>
      </w:r>
      <w:r w:rsidRPr="00AF16D6">
        <w:rPr>
          <w:rStyle w:val="normaltextrun"/>
        </w:rPr>
        <w:t>Contraception</w:t>
      </w:r>
      <w:r w:rsidRPr="00AF16D6">
        <w:rPr>
          <w:rStyle w:val="normaltextrun"/>
          <w:i/>
          <w:iCs/>
        </w:rPr>
        <w:t xml:space="preserve">; </w:t>
      </w:r>
      <w:r w:rsidRPr="00AF16D6">
        <w:rPr>
          <w:rStyle w:val="normaltextrun"/>
        </w:rPr>
        <w:t>83</w:t>
      </w:r>
      <w:r w:rsidRPr="00AF16D6">
        <w:rPr>
          <w:rStyle w:val="normaltextrun"/>
          <w:i/>
          <w:iCs/>
        </w:rPr>
        <w:t xml:space="preserve">: </w:t>
      </w:r>
      <w:r w:rsidRPr="00AF16D6">
        <w:rPr>
          <w:rStyle w:val="normaltextrun"/>
        </w:rPr>
        <w:t>159</w:t>
      </w:r>
      <w:r w:rsidRPr="00AF16D6">
        <w:rPr>
          <w:rStyle w:val="normaltextrun"/>
          <w:i/>
          <w:iCs/>
        </w:rPr>
        <w:t>–</w:t>
      </w:r>
      <w:r w:rsidRPr="00AF16D6">
        <w:rPr>
          <w:rStyle w:val="normaltextrun"/>
        </w:rPr>
        <w:t>166</w:t>
      </w:r>
      <w:r w:rsidRPr="00AF16D6">
        <w:rPr>
          <w:rStyle w:val="eop"/>
        </w:rPr>
        <w:t> </w:t>
      </w:r>
    </w:p>
    <w:p w14:paraId="400A41AE" w14:textId="77777777" w:rsidR="00AF16D6" w:rsidRPr="00AF16D6" w:rsidRDefault="00AF16D6" w:rsidP="00AF16D6">
      <w:pPr>
        <w:pStyle w:val="BodyText"/>
        <w:rPr>
          <w:rFonts w:ascii="Segoe UI" w:hAnsi="Segoe UI" w:cs="Segoe UI"/>
          <w:sz w:val="21"/>
          <w:szCs w:val="21"/>
        </w:rPr>
      </w:pPr>
      <w:r w:rsidRPr="00AF16D6">
        <w:rPr>
          <w:rStyle w:val="normaltextrun"/>
        </w:rPr>
        <w:t xml:space="preserve">Hussainy, S. Y., Stewart, K., &amp; Pham, M. P. (2015). A mystery caller evaluation of emergency contraception supply practices in community pharmacies in Victoria, Australia. </w:t>
      </w:r>
      <w:r w:rsidRPr="00AF16D6">
        <w:rPr>
          <w:rStyle w:val="normaltextrun"/>
          <w:i/>
          <w:iCs/>
        </w:rPr>
        <w:t>Australian Journal of Primary Health</w:t>
      </w:r>
      <w:r w:rsidRPr="00AF16D6">
        <w:rPr>
          <w:rStyle w:val="normaltextrun"/>
        </w:rPr>
        <w:t xml:space="preserve">, </w:t>
      </w:r>
      <w:r w:rsidRPr="00AF16D6">
        <w:rPr>
          <w:rStyle w:val="normaltextrun"/>
          <w:i/>
          <w:iCs/>
        </w:rPr>
        <w:t>21</w:t>
      </w:r>
      <w:r w:rsidRPr="00AF16D6">
        <w:rPr>
          <w:rStyle w:val="normaltextrun"/>
        </w:rPr>
        <w:t>(3), 310-316.</w:t>
      </w:r>
      <w:r w:rsidRPr="00AF16D6">
        <w:rPr>
          <w:rStyle w:val="eop"/>
        </w:rPr>
        <w:t> </w:t>
      </w:r>
    </w:p>
    <w:p w14:paraId="6486888D" w14:textId="77777777" w:rsidR="00AF16D6" w:rsidRPr="00AF16D6" w:rsidRDefault="00AF16D6" w:rsidP="00AF16D6">
      <w:pPr>
        <w:pStyle w:val="BodyText"/>
        <w:rPr>
          <w:rFonts w:ascii="Segoe UI" w:hAnsi="Segoe UI" w:cs="Segoe UI"/>
          <w:sz w:val="21"/>
          <w:szCs w:val="21"/>
        </w:rPr>
      </w:pPr>
      <w:r w:rsidRPr="00AF16D6">
        <w:rPr>
          <w:rStyle w:val="normaltextrun"/>
        </w:rPr>
        <w:t xml:space="preserve">Keogh, L. A., Newton, D., Bayly, C., McNamee, K., Hardiman, A., Webster, A., &amp; Bismark, M. (2017). Intended and unintended consequences of abortion law reform: perspectives of abortion experts in Victoria, Australia. </w:t>
      </w:r>
      <w:r w:rsidRPr="00AF16D6">
        <w:rPr>
          <w:rStyle w:val="normaltextrun"/>
          <w:i/>
          <w:iCs/>
        </w:rPr>
        <w:t>Journal of Family Planning &amp; Reproductive Health Care, 43</w:t>
      </w:r>
      <w:r w:rsidRPr="00AF16D6">
        <w:rPr>
          <w:rStyle w:val="normaltextrun"/>
        </w:rPr>
        <w:t xml:space="preserve">(1), 18-24. </w:t>
      </w:r>
      <w:hyperlink r:id="rId18" w:tgtFrame="_blank" w:history="1">
        <w:r w:rsidRPr="00AF16D6">
          <w:rPr>
            <w:rStyle w:val="normaltextrun"/>
            <w:color w:val="0000FF"/>
            <w:u w:val="single"/>
          </w:rPr>
          <w:t>doi:https://dx.doi.org/10.1136/jfprhc-2016-101541</w:t>
        </w:r>
      </w:hyperlink>
      <w:r w:rsidRPr="00AF16D6">
        <w:rPr>
          <w:rStyle w:val="eop"/>
        </w:rPr>
        <w:t> </w:t>
      </w:r>
    </w:p>
    <w:p w14:paraId="183168FC" w14:textId="77777777" w:rsidR="00AF16D6" w:rsidRPr="00AF16D6" w:rsidRDefault="00AF16D6" w:rsidP="00AF16D6">
      <w:pPr>
        <w:pStyle w:val="BodyText"/>
        <w:rPr>
          <w:rFonts w:ascii="Segoe UI" w:hAnsi="Segoe UI" w:cs="Segoe UI"/>
          <w:sz w:val="21"/>
          <w:szCs w:val="21"/>
        </w:rPr>
      </w:pPr>
      <w:r w:rsidRPr="00AF16D6">
        <w:rPr>
          <w:rStyle w:val="normaltextrun"/>
        </w:rPr>
        <w:t>Magelssen, M. (2012). When should conscientious objection be accepted?.</w:t>
      </w:r>
      <w:r w:rsidRPr="00AF16D6">
        <w:rPr>
          <w:rStyle w:val="normaltextrun"/>
          <w:rFonts w:ascii="Times New Roman" w:hAnsi="Times New Roman" w:cs="Times New Roman"/>
        </w:rPr>
        <w:t> </w:t>
      </w:r>
      <w:r w:rsidRPr="00AF16D6">
        <w:rPr>
          <w:rStyle w:val="normaltextrun"/>
          <w:i/>
          <w:iCs/>
        </w:rPr>
        <w:t>Journal of Medical Ethics</w:t>
      </w:r>
      <w:r w:rsidRPr="00AF16D6">
        <w:rPr>
          <w:rStyle w:val="normaltextrun"/>
        </w:rPr>
        <w:t>,</w:t>
      </w:r>
      <w:r w:rsidRPr="00AF16D6">
        <w:rPr>
          <w:rStyle w:val="normaltextrun"/>
          <w:rFonts w:ascii="Times New Roman" w:hAnsi="Times New Roman" w:cs="Times New Roman"/>
        </w:rPr>
        <w:t> </w:t>
      </w:r>
      <w:r w:rsidRPr="00AF16D6">
        <w:rPr>
          <w:rStyle w:val="normaltextrun"/>
          <w:i/>
          <w:iCs/>
        </w:rPr>
        <w:t>38</w:t>
      </w:r>
      <w:r w:rsidRPr="00AF16D6">
        <w:rPr>
          <w:rStyle w:val="normaltextrun"/>
        </w:rPr>
        <w:t>(1), 18-21.</w:t>
      </w:r>
      <w:r w:rsidRPr="00AF16D6">
        <w:rPr>
          <w:rStyle w:val="eop"/>
        </w:rPr>
        <w:t> </w:t>
      </w:r>
    </w:p>
    <w:p w14:paraId="3A954445" w14:textId="77777777" w:rsidR="00AF16D6" w:rsidRPr="00AF16D6" w:rsidRDefault="00AF16D6" w:rsidP="00AF16D6">
      <w:pPr>
        <w:pStyle w:val="BodyText"/>
        <w:rPr>
          <w:rFonts w:ascii="Segoe UI" w:hAnsi="Segoe UI" w:cs="Segoe UI"/>
          <w:sz w:val="21"/>
          <w:szCs w:val="21"/>
        </w:rPr>
      </w:pPr>
      <w:r w:rsidRPr="00AF16D6">
        <w:rPr>
          <w:rStyle w:val="normaltextrun"/>
        </w:rPr>
        <w:t>Marie Stopes Australia. (2021). Situational Report: Sexual and Reproductive Health Rights in Australia A request for collaboration and action to maintain contraception and abortion care throughout theSARS-COV-2 / COVID-19pandemic</w:t>
      </w:r>
      <w:r w:rsidRPr="00AF16D6">
        <w:rPr>
          <w:rStyle w:val="eop"/>
        </w:rPr>
        <w:t> </w:t>
      </w:r>
    </w:p>
    <w:p w14:paraId="0B68D1CD" w14:textId="77777777" w:rsidR="00AF16D6" w:rsidRPr="00AF16D6" w:rsidRDefault="00AF16D6" w:rsidP="00AF16D6">
      <w:pPr>
        <w:pStyle w:val="BodyText"/>
        <w:rPr>
          <w:rFonts w:ascii="Segoe UI" w:hAnsi="Segoe UI" w:cs="Segoe UI"/>
          <w:sz w:val="21"/>
          <w:szCs w:val="21"/>
        </w:rPr>
      </w:pPr>
      <w:r w:rsidRPr="00AF16D6">
        <w:rPr>
          <w:rStyle w:val="normaltextrun"/>
        </w:rPr>
        <w:t xml:space="preserve">Sturgiss, E., Dut, G. M., Matenge, S., Desborough, J., Dykgraaf, S. H., Mazza, D., &amp; Kidd, M. (2022). COVID-19 and access to sexual and reproductive healthcare for young people: An overview of the international literature and policy. </w:t>
      </w:r>
      <w:r w:rsidRPr="00AF16D6">
        <w:rPr>
          <w:rStyle w:val="normaltextrun"/>
          <w:i/>
          <w:iCs/>
        </w:rPr>
        <w:t>Australian Journal of General Practice</w:t>
      </w:r>
      <w:r w:rsidRPr="00AF16D6">
        <w:rPr>
          <w:rStyle w:val="normaltextrun"/>
        </w:rPr>
        <w:t xml:space="preserve">, </w:t>
      </w:r>
      <w:r w:rsidRPr="00AF16D6">
        <w:rPr>
          <w:rStyle w:val="normaltextrun"/>
          <w:i/>
          <w:iCs/>
        </w:rPr>
        <w:t>51</w:t>
      </w:r>
      <w:r w:rsidRPr="00AF16D6">
        <w:rPr>
          <w:rStyle w:val="normaltextrun"/>
        </w:rPr>
        <w:t>(4), 271-277.</w:t>
      </w:r>
      <w:r w:rsidRPr="00AF16D6">
        <w:rPr>
          <w:rStyle w:val="eop"/>
        </w:rPr>
        <w:t> </w:t>
      </w:r>
    </w:p>
    <w:p w14:paraId="4F456AEE" w14:textId="77777777" w:rsidR="00AF16D6" w:rsidRPr="00AF16D6" w:rsidRDefault="00AF16D6" w:rsidP="00AF16D6">
      <w:pPr>
        <w:pStyle w:val="BodyText"/>
        <w:rPr>
          <w:rFonts w:ascii="Segoe UI" w:hAnsi="Segoe UI" w:cs="Segoe UI"/>
          <w:sz w:val="21"/>
          <w:szCs w:val="21"/>
        </w:rPr>
      </w:pPr>
      <w:r w:rsidRPr="00AF16D6">
        <w:rPr>
          <w:rStyle w:val="normaltextrun"/>
        </w:rPr>
        <w:t>Victoria Department of Health. (2019). Review of Victorian Sexual Health and Service Needs </w:t>
      </w:r>
      <w:r w:rsidRPr="00AF16D6">
        <w:rPr>
          <w:rStyle w:val="eop"/>
        </w:rPr>
        <w:t> </w:t>
      </w:r>
    </w:p>
    <w:p w14:paraId="352414E9" w14:textId="77777777" w:rsidR="00AF16D6" w:rsidRPr="00AF16D6" w:rsidRDefault="00AF16D6" w:rsidP="00AF16D6">
      <w:pPr>
        <w:pStyle w:val="BodyText"/>
        <w:rPr>
          <w:rFonts w:ascii="Segoe UI" w:hAnsi="Segoe UI" w:cs="Segoe UI"/>
          <w:sz w:val="21"/>
          <w:szCs w:val="21"/>
        </w:rPr>
      </w:pPr>
      <w:r w:rsidRPr="00AF16D6">
        <w:rPr>
          <w:rStyle w:val="normaltextrun"/>
        </w:rPr>
        <w:t>Women’s Health in the North (WHIN). (2021a). Women’s Health in the North Environmental Scan https://www.whin.org.au/wp-content/uploads/sites/2/2021/11/WHIN-Environmental-Scan-2021.pdf</w:t>
      </w:r>
      <w:r w:rsidRPr="00AF16D6">
        <w:rPr>
          <w:rStyle w:val="eop"/>
        </w:rPr>
        <w:t> </w:t>
      </w:r>
    </w:p>
    <w:p w14:paraId="4443106D" w14:textId="77777777" w:rsidR="00AF16D6" w:rsidRPr="00AF16D6" w:rsidRDefault="00AF16D6" w:rsidP="00AF16D6">
      <w:pPr>
        <w:pStyle w:val="BodyText"/>
        <w:rPr>
          <w:rFonts w:ascii="Segoe UI" w:hAnsi="Segoe UI" w:cs="Segoe UI"/>
          <w:sz w:val="21"/>
          <w:szCs w:val="21"/>
        </w:rPr>
      </w:pPr>
      <w:r w:rsidRPr="00AF16D6">
        <w:rPr>
          <w:rStyle w:val="normaltextrun"/>
        </w:rPr>
        <w:t>Women’s Health in the North (WHIN). (2021b). Women’s Health in the North Strategic Plan 2022-2026 </w:t>
      </w:r>
      <w:r w:rsidRPr="00AF16D6">
        <w:rPr>
          <w:rStyle w:val="eop"/>
        </w:rPr>
        <w:t> </w:t>
      </w:r>
    </w:p>
    <w:p w14:paraId="5BDA0102" w14:textId="77777777" w:rsidR="00AF16D6" w:rsidRDefault="00AF16D6" w:rsidP="00AF16D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0"/>
          <w:szCs w:val="20"/>
        </w:rPr>
        <w:t> </w:t>
      </w:r>
    </w:p>
    <w:p w14:paraId="55659AA4" w14:textId="77777777" w:rsidR="00AF16D6" w:rsidRDefault="00AF16D6" w:rsidP="00AF16D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0"/>
          <w:szCs w:val="20"/>
        </w:rPr>
        <w:t> </w:t>
      </w:r>
    </w:p>
    <w:p w14:paraId="56252489" w14:textId="5E9D7C51" w:rsidR="6A8C81D2" w:rsidRPr="00654125" w:rsidRDefault="6A8C81D2" w:rsidP="00654125"/>
    <w:sectPr w:rsidR="6A8C81D2" w:rsidRPr="00654125" w:rsidSect="00614EDC">
      <w:footerReference w:type="even" r:id="rId19"/>
      <w:footerReference w:type="default" r:id="rId20"/>
      <w:footerReference w:type="first" r:id="rId21"/>
      <w:type w:val="continuous"/>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D65A" w14:textId="77777777" w:rsidR="008F01D4" w:rsidRDefault="008F01D4" w:rsidP="00770A47">
      <w:r>
        <w:separator/>
      </w:r>
    </w:p>
  </w:endnote>
  <w:endnote w:type="continuationSeparator" w:id="0">
    <w:p w14:paraId="2BAEB646" w14:textId="77777777" w:rsidR="008F01D4" w:rsidRDefault="008F01D4" w:rsidP="00770A47">
      <w:r>
        <w:continuationSeparator/>
      </w:r>
    </w:p>
  </w:endnote>
  <w:endnote w:type="continuationNotice" w:id="1">
    <w:p w14:paraId="79CD8357" w14:textId="77777777" w:rsidR="008F01D4" w:rsidRDefault="008F0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oppins Light">
    <w:altName w:val="Nirmala UI"/>
    <w:panose1 w:val="000004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altName w:val="Nirmala UI"/>
    <w:panose1 w:val="00000500000000000000"/>
    <w:charset w:val="4D"/>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060255"/>
      <w:docPartObj>
        <w:docPartGallery w:val="Page Numbers (Bottom of Page)"/>
        <w:docPartUnique/>
      </w:docPartObj>
    </w:sdtPr>
    <w:sdtContent>
      <w:p w14:paraId="39D6BDC5" w14:textId="0EBF1351" w:rsidR="0071768F" w:rsidRDefault="0071768F" w:rsidP="00AD40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5CF3BB4A" w14:textId="77777777" w:rsidR="0071768F" w:rsidRDefault="0071768F" w:rsidP="007176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6763575"/>
      <w:docPartObj>
        <w:docPartGallery w:val="Page Numbers (Bottom of Page)"/>
        <w:docPartUnique/>
      </w:docPartObj>
    </w:sdtPr>
    <w:sdtEndPr>
      <w:rPr>
        <w:rStyle w:val="PageNumber"/>
        <w:rFonts w:ascii="Poppins" w:hAnsi="Poppins" w:cs="Poppins"/>
      </w:rPr>
    </w:sdtEndPr>
    <w:sdtContent>
      <w:p w14:paraId="306D3FB0" w14:textId="5F9A19E9" w:rsidR="0071768F" w:rsidRPr="0071768F" w:rsidRDefault="0071768F" w:rsidP="00AD40B4">
        <w:pPr>
          <w:pStyle w:val="Footer"/>
          <w:framePr w:wrap="none" w:vAnchor="text" w:hAnchor="margin" w:xAlign="right" w:y="1"/>
          <w:rPr>
            <w:rStyle w:val="PageNumber"/>
            <w:rFonts w:ascii="Poppins" w:hAnsi="Poppins" w:cs="Poppins"/>
          </w:rPr>
        </w:pPr>
        <w:r w:rsidRPr="0071768F">
          <w:rPr>
            <w:rStyle w:val="PageNumber"/>
            <w:rFonts w:ascii="Poppins" w:hAnsi="Poppins" w:cs="Poppins"/>
          </w:rPr>
          <w:fldChar w:fldCharType="begin"/>
        </w:r>
        <w:r w:rsidRPr="0071768F">
          <w:rPr>
            <w:rStyle w:val="PageNumber"/>
            <w:rFonts w:ascii="Poppins" w:hAnsi="Poppins" w:cs="Poppins"/>
          </w:rPr>
          <w:instrText xml:space="preserve"> PAGE </w:instrText>
        </w:r>
        <w:r w:rsidRPr="0071768F">
          <w:rPr>
            <w:rStyle w:val="PageNumber"/>
            <w:rFonts w:ascii="Poppins" w:hAnsi="Poppins" w:cs="Poppins"/>
          </w:rPr>
          <w:fldChar w:fldCharType="separate"/>
        </w:r>
        <w:r w:rsidRPr="0071768F">
          <w:rPr>
            <w:rStyle w:val="PageNumber"/>
            <w:rFonts w:ascii="Poppins" w:hAnsi="Poppins" w:cs="Poppins"/>
            <w:noProof/>
          </w:rPr>
          <w:t>13</w:t>
        </w:r>
        <w:r w:rsidRPr="0071768F">
          <w:rPr>
            <w:rStyle w:val="PageNumber"/>
            <w:rFonts w:ascii="Poppins" w:hAnsi="Poppins" w:cs="Poppins"/>
          </w:rPr>
          <w:fldChar w:fldCharType="end"/>
        </w:r>
      </w:p>
    </w:sdtContent>
  </w:sdt>
  <w:p w14:paraId="7257A8D5" w14:textId="77777777" w:rsidR="0071768F" w:rsidRPr="0071768F" w:rsidRDefault="0071768F" w:rsidP="0071768F">
    <w:pPr>
      <w:pStyle w:val="Footer"/>
      <w:ind w:right="360"/>
      <w:rPr>
        <w:rFonts w:ascii="Poppins" w:hAnsi="Poppins" w:cs="Poppi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005B" w14:textId="77777777" w:rsidR="00DA2813" w:rsidRDefault="00327445">
    <w:r>
      <w:t>楸楺楼楾榀橪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12F4" w14:textId="77777777" w:rsidR="008F01D4" w:rsidRDefault="008F01D4" w:rsidP="00770A47">
      <w:r>
        <w:separator/>
      </w:r>
    </w:p>
  </w:footnote>
  <w:footnote w:type="continuationSeparator" w:id="0">
    <w:p w14:paraId="32C9B4E5" w14:textId="77777777" w:rsidR="008F01D4" w:rsidRDefault="008F01D4" w:rsidP="00770A47">
      <w:r>
        <w:continuationSeparator/>
      </w:r>
    </w:p>
  </w:footnote>
  <w:footnote w:type="continuationNotice" w:id="1">
    <w:p w14:paraId="0E45C094" w14:textId="77777777" w:rsidR="008F01D4" w:rsidRDefault="008F01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6CC"/>
    <w:multiLevelType w:val="hybridMultilevel"/>
    <w:tmpl w:val="976805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13C14CE"/>
    <w:multiLevelType w:val="hybridMultilevel"/>
    <w:tmpl w:val="9E64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943B4"/>
    <w:multiLevelType w:val="hybridMultilevel"/>
    <w:tmpl w:val="0DE0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77F1E"/>
    <w:multiLevelType w:val="hybridMultilevel"/>
    <w:tmpl w:val="C7CA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5736B"/>
    <w:multiLevelType w:val="hybridMultilevel"/>
    <w:tmpl w:val="3350E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73812"/>
    <w:multiLevelType w:val="multilevel"/>
    <w:tmpl w:val="97E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40B08"/>
    <w:multiLevelType w:val="hybridMultilevel"/>
    <w:tmpl w:val="C33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B56D4"/>
    <w:multiLevelType w:val="hybridMultilevel"/>
    <w:tmpl w:val="7610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A70355"/>
    <w:multiLevelType w:val="hybridMultilevel"/>
    <w:tmpl w:val="FD42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B92165"/>
    <w:multiLevelType w:val="hybridMultilevel"/>
    <w:tmpl w:val="D20484FC"/>
    <w:lvl w:ilvl="0" w:tplc="224AD3B8">
      <w:start w:val="1"/>
      <w:numFmt w:val="decimal"/>
      <w:lvlText w:val="%1."/>
      <w:lvlJc w:val="left"/>
      <w:pPr>
        <w:ind w:left="720" w:hanging="360"/>
      </w:pPr>
      <w:rPr>
        <w:rFonts w:eastAsia="Poppins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201C9A"/>
    <w:multiLevelType w:val="hybridMultilevel"/>
    <w:tmpl w:val="1118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1162BB"/>
    <w:multiLevelType w:val="hybridMultilevel"/>
    <w:tmpl w:val="C3F2933A"/>
    <w:lvl w:ilvl="0" w:tplc="224AD3B8">
      <w:start w:val="1"/>
      <w:numFmt w:val="decimal"/>
      <w:lvlText w:val="%1."/>
      <w:lvlJc w:val="left"/>
      <w:pPr>
        <w:ind w:left="720" w:hanging="360"/>
      </w:pPr>
      <w:rPr>
        <w:rFonts w:eastAsia="Poppins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DF765F"/>
    <w:multiLevelType w:val="hybridMultilevel"/>
    <w:tmpl w:val="F526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541491"/>
    <w:multiLevelType w:val="multilevel"/>
    <w:tmpl w:val="8586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3E21EA"/>
    <w:multiLevelType w:val="hybridMultilevel"/>
    <w:tmpl w:val="6D7250A8"/>
    <w:lvl w:ilvl="0" w:tplc="224AD3B8">
      <w:start w:val="1"/>
      <w:numFmt w:val="decimal"/>
      <w:lvlText w:val="%1."/>
      <w:lvlJc w:val="left"/>
      <w:pPr>
        <w:ind w:left="720" w:hanging="360"/>
      </w:pPr>
      <w:rPr>
        <w:rFonts w:eastAsia="Poppins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8400FF"/>
    <w:multiLevelType w:val="hybridMultilevel"/>
    <w:tmpl w:val="BE0C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12479"/>
    <w:multiLevelType w:val="hybridMultilevel"/>
    <w:tmpl w:val="FBDE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F51D1"/>
    <w:multiLevelType w:val="hybridMultilevel"/>
    <w:tmpl w:val="23501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F4365B4"/>
    <w:multiLevelType w:val="hybridMultilevel"/>
    <w:tmpl w:val="F5F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707F8"/>
    <w:multiLevelType w:val="hybridMultilevel"/>
    <w:tmpl w:val="DD8E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A60C3"/>
    <w:multiLevelType w:val="hybridMultilevel"/>
    <w:tmpl w:val="A28E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19693B"/>
    <w:multiLevelType w:val="hybridMultilevel"/>
    <w:tmpl w:val="9E90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6C1C0F"/>
    <w:multiLevelType w:val="hybridMultilevel"/>
    <w:tmpl w:val="E7682A0E"/>
    <w:lvl w:ilvl="0" w:tplc="224AD3B8">
      <w:start w:val="1"/>
      <w:numFmt w:val="decimal"/>
      <w:lvlText w:val="%1."/>
      <w:lvlJc w:val="left"/>
      <w:pPr>
        <w:ind w:left="720" w:hanging="360"/>
      </w:pPr>
      <w:rPr>
        <w:rFonts w:eastAsia="Poppins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EF37E7"/>
    <w:multiLevelType w:val="hybridMultilevel"/>
    <w:tmpl w:val="CC6A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7E011F"/>
    <w:multiLevelType w:val="hybridMultilevel"/>
    <w:tmpl w:val="7388C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57C7D"/>
    <w:multiLevelType w:val="hybridMultilevel"/>
    <w:tmpl w:val="540C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06B5A"/>
    <w:multiLevelType w:val="hybridMultilevel"/>
    <w:tmpl w:val="5C82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A35CFD"/>
    <w:multiLevelType w:val="hybridMultilevel"/>
    <w:tmpl w:val="4440A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154A94"/>
    <w:multiLevelType w:val="hybridMultilevel"/>
    <w:tmpl w:val="8CD4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8F1731"/>
    <w:multiLevelType w:val="hybridMultilevel"/>
    <w:tmpl w:val="E6D2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EB288D"/>
    <w:multiLevelType w:val="hybridMultilevel"/>
    <w:tmpl w:val="A1B4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677C34"/>
    <w:multiLevelType w:val="hybridMultilevel"/>
    <w:tmpl w:val="3CCC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6D6ABF"/>
    <w:multiLevelType w:val="hybridMultilevel"/>
    <w:tmpl w:val="D9AE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E95D04"/>
    <w:multiLevelType w:val="hybridMultilevel"/>
    <w:tmpl w:val="3EAA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DD5A3B"/>
    <w:multiLevelType w:val="hybridMultilevel"/>
    <w:tmpl w:val="AEDC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CF06DD"/>
    <w:multiLevelType w:val="hybridMultilevel"/>
    <w:tmpl w:val="02EE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E77C11"/>
    <w:multiLevelType w:val="hybridMultilevel"/>
    <w:tmpl w:val="DDA8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B637AE"/>
    <w:multiLevelType w:val="hybridMultilevel"/>
    <w:tmpl w:val="AABC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582022"/>
    <w:multiLevelType w:val="hybridMultilevel"/>
    <w:tmpl w:val="D704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5B20A1"/>
    <w:multiLevelType w:val="hybridMultilevel"/>
    <w:tmpl w:val="DC2A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241C07"/>
    <w:multiLevelType w:val="hybridMultilevel"/>
    <w:tmpl w:val="A54ABC38"/>
    <w:lvl w:ilvl="0" w:tplc="224AD3B8">
      <w:start w:val="1"/>
      <w:numFmt w:val="decimal"/>
      <w:lvlText w:val="%1."/>
      <w:lvlJc w:val="left"/>
      <w:pPr>
        <w:ind w:left="720" w:hanging="360"/>
      </w:pPr>
      <w:rPr>
        <w:rFonts w:eastAsia="Poppins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1D7DA6"/>
    <w:multiLevelType w:val="hybridMultilevel"/>
    <w:tmpl w:val="4EE2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C74C55"/>
    <w:multiLevelType w:val="hybridMultilevel"/>
    <w:tmpl w:val="4260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0673CC"/>
    <w:multiLevelType w:val="hybridMultilevel"/>
    <w:tmpl w:val="5DEA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9678B6"/>
    <w:multiLevelType w:val="hybridMultilevel"/>
    <w:tmpl w:val="8232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A873D7"/>
    <w:multiLevelType w:val="hybridMultilevel"/>
    <w:tmpl w:val="7CB8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BB4E63"/>
    <w:multiLevelType w:val="hybridMultilevel"/>
    <w:tmpl w:val="DEEE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5679AB"/>
    <w:multiLevelType w:val="hybridMultilevel"/>
    <w:tmpl w:val="4D58A060"/>
    <w:lvl w:ilvl="0" w:tplc="9D229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3193930">
    <w:abstractNumId w:val="39"/>
  </w:num>
  <w:num w:numId="2" w16cid:durableId="878009375">
    <w:abstractNumId w:val="37"/>
  </w:num>
  <w:num w:numId="3" w16cid:durableId="529295096">
    <w:abstractNumId w:val="1"/>
  </w:num>
  <w:num w:numId="4" w16cid:durableId="1693143596">
    <w:abstractNumId w:val="23"/>
  </w:num>
  <w:num w:numId="5" w16cid:durableId="513107691">
    <w:abstractNumId w:val="16"/>
  </w:num>
  <w:num w:numId="6" w16cid:durableId="751505658">
    <w:abstractNumId w:val="4"/>
  </w:num>
  <w:num w:numId="7" w16cid:durableId="234363895">
    <w:abstractNumId w:val="43"/>
  </w:num>
  <w:num w:numId="8" w16cid:durableId="2093426837">
    <w:abstractNumId w:val="12"/>
  </w:num>
  <w:num w:numId="9" w16cid:durableId="837815081">
    <w:abstractNumId w:val="29"/>
  </w:num>
  <w:num w:numId="10" w16cid:durableId="223227267">
    <w:abstractNumId w:val="18"/>
  </w:num>
  <w:num w:numId="11" w16cid:durableId="170066568">
    <w:abstractNumId w:val="33"/>
  </w:num>
  <w:num w:numId="12" w16cid:durableId="1180047033">
    <w:abstractNumId w:val="41"/>
  </w:num>
  <w:num w:numId="13" w16cid:durableId="1022126660">
    <w:abstractNumId w:val="7"/>
  </w:num>
  <w:num w:numId="14" w16cid:durableId="1013534970">
    <w:abstractNumId w:val="35"/>
  </w:num>
  <w:num w:numId="15" w16cid:durableId="816253">
    <w:abstractNumId w:val="17"/>
  </w:num>
  <w:num w:numId="16" w16cid:durableId="2093424568">
    <w:abstractNumId w:val="6"/>
  </w:num>
  <w:num w:numId="17" w16cid:durableId="1170411358">
    <w:abstractNumId w:val="47"/>
  </w:num>
  <w:num w:numId="18" w16cid:durableId="69693895">
    <w:abstractNumId w:val="15"/>
  </w:num>
  <w:num w:numId="19" w16cid:durableId="319046334">
    <w:abstractNumId w:val="20"/>
  </w:num>
  <w:num w:numId="20" w16cid:durableId="298540086">
    <w:abstractNumId w:val="28"/>
  </w:num>
  <w:num w:numId="21" w16cid:durableId="751244748">
    <w:abstractNumId w:val="44"/>
  </w:num>
  <w:num w:numId="22" w16cid:durableId="610742776">
    <w:abstractNumId w:val="25"/>
  </w:num>
  <w:num w:numId="23" w16cid:durableId="737900391">
    <w:abstractNumId w:val="42"/>
  </w:num>
  <w:num w:numId="24" w16cid:durableId="338853606">
    <w:abstractNumId w:val="3"/>
  </w:num>
  <w:num w:numId="25" w16cid:durableId="784664228">
    <w:abstractNumId w:val="45"/>
  </w:num>
  <w:num w:numId="26" w16cid:durableId="883759373">
    <w:abstractNumId w:val="19"/>
  </w:num>
  <w:num w:numId="27" w16cid:durableId="710694269">
    <w:abstractNumId w:val="36"/>
  </w:num>
  <w:num w:numId="28" w16cid:durableId="1490831239">
    <w:abstractNumId w:val="31"/>
  </w:num>
  <w:num w:numId="29" w16cid:durableId="1204711749">
    <w:abstractNumId w:val="24"/>
  </w:num>
  <w:num w:numId="30" w16cid:durableId="1211576010">
    <w:abstractNumId w:val="26"/>
  </w:num>
  <w:num w:numId="31" w16cid:durableId="1468670809">
    <w:abstractNumId w:val="21"/>
  </w:num>
  <w:num w:numId="32" w16cid:durableId="1794983365">
    <w:abstractNumId w:val="32"/>
  </w:num>
  <w:num w:numId="33" w16cid:durableId="397174620">
    <w:abstractNumId w:val="10"/>
  </w:num>
  <w:num w:numId="34" w16cid:durableId="1280065343">
    <w:abstractNumId w:val="8"/>
  </w:num>
  <w:num w:numId="35" w16cid:durableId="289363002">
    <w:abstractNumId w:val="0"/>
  </w:num>
  <w:num w:numId="36" w16cid:durableId="1865440135">
    <w:abstractNumId w:val="22"/>
  </w:num>
  <w:num w:numId="37" w16cid:durableId="1088575804">
    <w:abstractNumId w:val="14"/>
  </w:num>
  <w:num w:numId="38" w16cid:durableId="808471405">
    <w:abstractNumId w:val="34"/>
  </w:num>
  <w:num w:numId="39" w16cid:durableId="1884705599">
    <w:abstractNumId w:val="40"/>
  </w:num>
  <w:num w:numId="40" w16cid:durableId="362554340">
    <w:abstractNumId w:val="11"/>
  </w:num>
  <w:num w:numId="41" w16cid:durableId="705376427">
    <w:abstractNumId w:val="27"/>
  </w:num>
  <w:num w:numId="42" w16cid:durableId="512303659">
    <w:abstractNumId w:val="2"/>
  </w:num>
  <w:num w:numId="43" w16cid:durableId="1936936770">
    <w:abstractNumId w:val="38"/>
  </w:num>
  <w:num w:numId="44" w16cid:durableId="1162813727">
    <w:abstractNumId w:val="13"/>
  </w:num>
  <w:num w:numId="45" w16cid:durableId="1246568583">
    <w:abstractNumId w:val="5"/>
  </w:num>
  <w:num w:numId="46" w16cid:durableId="1134712532">
    <w:abstractNumId w:val="30"/>
  </w:num>
  <w:num w:numId="47" w16cid:durableId="1166240037">
    <w:abstractNumId w:val="9"/>
  </w:num>
  <w:num w:numId="48" w16cid:durableId="865022405">
    <w:abstractNumId w:val="4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81"/>
    <w:rsid w:val="00000255"/>
    <w:rsid w:val="000003D9"/>
    <w:rsid w:val="0000307B"/>
    <w:rsid w:val="0000496A"/>
    <w:rsid w:val="0000571F"/>
    <w:rsid w:val="00005C0D"/>
    <w:rsid w:val="00006319"/>
    <w:rsid w:val="00006F01"/>
    <w:rsid w:val="00011253"/>
    <w:rsid w:val="00012160"/>
    <w:rsid w:val="00013037"/>
    <w:rsid w:val="00013653"/>
    <w:rsid w:val="00013D59"/>
    <w:rsid w:val="00014F6D"/>
    <w:rsid w:val="00021131"/>
    <w:rsid w:val="00022AAF"/>
    <w:rsid w:val="00022D0F"/>
    <w:rsid w:val="0002345A"/>
    <w:rsid w:val="00023AF6"/>
    <w:rsid w:val="00025348"/>
    <w:rsid w:val="00027617"/>
    <w:rsid w:val="00027F2B"/>
    <w:rsid w:val="00030C36"/>
    <w:rsid w:val="00031A9E"/>
    <w:rsid w:val="00031AA8"/>
    <w:rsid w:val="000322C7"/>
    <w:rsid w:val="00032604"/>
    <w:rsid w:val="00032BF7"/>
    <w:rsid w:val="00032E82"/>
    <w:rsid w:val="00036D2F"/>
    <w:rsid w:val="00037ACA"/>
    <w:rsid w:val="00042263"/>
    <w:rsid w:val="00042826"/>
    <w:rsid w:val="0004379A"/>
    <w:rsid w:val="00045696"/>
    <w:rsid w:val="0005032A"/>
    <w:rsid w:val="00050A96"/>
    <w:rsid w:val="00051616"/>
    <w:rsid w:val="000520E7"/>
    <w:rsid w:val="00052B6F"/>
    <w:rsid w:val="00052D5F"/>
    <w:rsid w:val="000555F3"/>
    <w:rsid w:val="00055C83"/>
    <w:rsid w:val="00055CB4"/>
    <w:rsid w:val="00055DB1"/>
    <w:rsid w:val="0005622E"/>
    <w:rsid w:val="00056CB4"/>
    <w:rsid w:val="00057EEB"/>
    <w:rsid w:val="00060217"/>
    <w:rsid w:val="0006598F"/>
    <w:rsid w:val="00067CE4"/>
    <w:rsid w:val="00070A65"/>
    <w:rsid w:val="00070C06"/>
    <w:rsid w:val="00070FE6"/>
    <w:rsid w:val="00072E11"/>
    <w:rsid w:val="00073B9D"/>
    <w:rsid w:val="00073E7D"/>
    <w:rsid w:val="000749CB"/>
    <w:rsid w:val="00075804"/>
    <w:rsid w:val="00083D49"/>
    <w:rsid w:val="00084BF6"/>
    <w:rsid w:val="0008569B"/>
    <w:rsid w:val="00085C63"/>
    <w:rsid w:val="00090266"/>
    <w:rsid w:val="000907B6"/>
    <w:rsid w:val="00090A34"/>
    <w:rsid w:val="00091933"/>
    <w:rsid w:val="00092AD4"/>
    <w:rsid w:val="00093DBB"/>
    <w:rsid w:val="00094195"/>
    <w:rsid w:val="00094DBC"/>
    <w:rsid w:val="000958AB"/>
    <w:rsid w:val="00097AF2"/>
    <w:rsid w:val="00097BFA"/>
    <w:rsid w:val="00097E56"/>
    <w:rsid w:val="000A09E3"/>
    <w:rsid w:val="000A0AB5"/>
    <w:rsid w:val="000A0CC3"/>
    <w:rsid w:val="000A1E00"/>
    <w:rsid w:val="000A2B12"/>
    <w:rsid w:val="000A3E66"/>
    <w:rsid w:val="000A750E"/>
    <w:rsid w:val="000A777B"/>
    <w:rsid w:val="000B0B1F"/>
    <w:rsid w:val="000B0BE3"/>
    <w:rsid w:val="000B1FF5"/>
    <w:rsid w:val="000B2247"/>
    <w:rsid w:val="000B227B"/>
    <w:rsid w:val="000B370F"/>
    <w:rsid w:val="000B53D3"/>
    <w:rsid w:val="000B674A"/>
    <w:rsid w:val="000B6A0C"/>
    <w:rsid w:val="000B7FA9"/>
    <w:rsid w:val="000C00F4"/>
    <w:rsid w:val="000C0E31"/>
    <w:rsid w:val="000C3498"/>
    <w:rsid w:val="000C34ED"/>
    <w:rsid w:val="000C3695"/>
    <w:rsid w:val="000C3A62"/>
    <w:rsid w:val="000C47E7"/>
    <w:rsid w:val="000C75DE"/>
    <w:rsid w:val="000C7C1F"/>
    <w:rsid w:val="000D0B2F"/>
    <w:rsid w:val="000D0DEC"/>
    <w:rsid w:val="000D2E89"/>
    <w:rsid w:val="000D3F45"/>
    <w:rsid w:val="000D43C0"/>
    <w:rsid w:val="000D4B45"/>
    <w:rsid w:val="000D6393"/>
    <w:rsid w:val="000E0039"/>
    <w:rsid w:val="000E0F87"/>
    <w:rsid w:val="000E3720"/>
    <w:rsid w:val="000E56A2"/>
    <w:rsid w:val="000E5CAA"/>
    <w:rsid w:val="000E711F"/>
    <w:rsid w:val="000E72E5"/>
    <w:rsid w:val="000E7420"/>
    <w:rsid w:val="000F0182"/>
    <w:rsid w:val="000F0B6B"/>
    <w:rsid w:val="000F3B5B"/>
    <w:rsid w:val="001003BF"/>
    <w:rsid w:val="001018E4"/>
    <w:rsid w:val="00102E4E"/>
    <w:rsid w:val="001043C5"/>
    <w:rsid w:val="0010468A"/>
    <w:rsid w:val="00104B3E"/>
    <w:rsid w:val="0010508C"/>
    <w:rsid w:val="0010559E"/>
    <w:rsid w:val="00105839"/>
    <w:rsid w:val="00106FC7"/>
    <w:rsid w:val="0010738C"/>
    <w:rsid w:val="0011261A"/>
    <w:rsid w:val="00113D6E"/>
    <w:rsid w:val="00115E11"/>
    <w:rsid w:val="00117040"/>
    <w:rsid w:val="001177BF"/>
    <w:rsid w:val="0011784F"/>
    <w:rsid w:val="00117FE0"/>
    <w:rsid w:val="0012047B"/>
    <w:rsid w:val="00122C73"/>
    <w:rsid w:val="00122DC6"/>
    <w:rsid w:val="00122FAF"/>
    <w:rsid w:val="00123014"/>
    <w:rsid w:val="00123748"/>
    <w:rsid w:val="00123E4E"/>
    <w:rsid w:val="001241CB"/>
    <w:rsid w:val="00124832"/>
    <w:rsid w:val="00124EA3"/>
    <w:rsid w:val="00126288"/>
    <w:rsid w:val="001267F7"/>
    <w:rsid w:val="00126B04"/>
    <w:rsid w:val="001401A3"/>
    <w:rsid w:val="00144101"/>
    <w:rsid w:val="001463E7"/>
    <w:rsid w:val="00150ED5"/>
    <w:rsid w:val="001510DE"/>
    <w:rsid w:val="00155B99"/>
    <w:rsid w:val="00156D36"/>
    <w:rsid w:val="00157077"/>
    <w:rsid w:val="0016034A"/>
    <w:rsid w:val="001607A5"/>
    <w:rsid w:val="00163235"/>
    <w:rsid w:val="0016390D"/>
    <w:rsid w:val="00163BF9"/>
    <w:rsid w:val="00165CE5"/>
    <w:rsid w:val="00167C07"/>
    <w:rsid w:val="001704A2"/>
    <w:rsid w:val="00172531"/>
    <w:rsid w:val="001732B5"/>
    <w:rsid w:val="00174A45"/>
    <w:rsid w:val="001752C8"/>
    <w:rsid w:val="00180D65"/>
    <w:rsid w:val="00182636"/>
    <w:rsid w:val="001846E0"/>
    <w:rsid w:val="00184E57"/>
    <w:rsid w:val="00185A09"/>
    <w:rsid w:val="001865E7"/>
    <w:rsid w:val="001907BA"/>
    <w:rsid w:val="001914DD"/>
    <w:rsid w:val="001930B6"/>
    <w:rsid w:val="00193D49"/>
    <w:rsid w:val="001941FA"/>
    <w:rsid w:val="001942A3"/>
    <w:rsid w:val="001949E5"/>
    <w:rsid w:val="00194D10"/>
    <w:rsid w:val="00195282"/>
    <w:rsid w:val="001A0347"/>
    <w:rsid w:val="001A08E0"/>
    <w:rsid w:val="001A178C"/>
    <w:rsid w:val="001A3115"/>
    <w:rsid w:val="001A3BD4"/>
    <w:rsid w:val="001A475B"/>
    <w:rsid w:val="001A5BF8"/>
    <w:rsid w:val="001B0415"/>
    <w:rsid w:val="001B08D9"/>
    <w:rsid w:val="001B6912"/>
    <w:rsid w:val="001C0B18"/>
    <w:rsid w:val="001C0D00"/>
    <w:rsid w:val="001C2B90"/>
    <w:rsid w:val="001C4BA3"/>
    <w:rsid w:val="001C620C"/>
    <w:rsid w:val="001D24A8"/>
    <w:rsid w:val="001D550A"/>
    <w:rsid w:val="001E2237"/>
    <w:rsid w:val="001E25CA"/>
    <w:rsid w:val="001E2C50"/>
    <w:rsid w:val="001E4426"/>
    <w:rsid w:val="001E654C"/>
    <w:rsid w:val="001F0A91"/>
    <w:rsid w:val="001F1548"/>
    <w:rsid w:val="001F31B5"/>
    <w:rsid w:val="001F37DD"/>
    <w:rsid w:val="001F441D"/>
    <w:rsid w:val="001F60BD"/>
    <w:rsid w:val="001F78DD"/>
    <w:rsid w:val="00200203"/>
    <w:rsid w:val="002009B5"/>
    <w:rsid w:val="00200D41"/>
    <w:rsid w:val="00201684"/>
    <w:rsid w:val="00201C68"/>
    <w:rsid w:val="002026E4"/>
    <w:rsid w:val="00204B8E"/>
    <w:rsid w:val="00205ECC"/>
    <w:rsid w:val="00210E1F"/>
    <w:rsid w:val="002112F1"/>
    <w:rsid w:val="00213419"/>
    <w:rsid w:val="0021504A"/>
    <w:rsid w:val="00215810"/>
    <w:rsid w:val="00216AAF"/>
    <w:rsid w:val="00220A0C"/>
    <w:rsid w:val="00220DC7"/>
    <w:rsid w:val="00221C23"/>
    <w:rsid w:val="00221E9A"/>
    <w:rsid w:val="00222A90"/>
    <w:rsid w:val="002257E6"/>
    <w:rsid w:val="00225A0A"/>
    <w:rsid w:val="00225A4B"/>
    <w:rsid w:val="0022711F"/>
    <w:rsid w:val="00230AE2"/>
    <w:rsid w:val="0023150B"/>
    <w:rsid w:val="00232449"/>
    <w:rsid w:val="00233B09"/>
    <w:rsid w:val="00233C43"/>
    <w:rsid w:val="0023438F"/>
    <w:rsid w:val="00234F20"/>
    <w:rsid w:val="00235E5B"/>
    <w:rsid w:val="00236F8A"/>
    <w:rsid w:val="00240237"/>
    <w:rsid w:val="002414DE"/>
    <w:rsid w:val="00242775"/>
    <w:rsid w:val="0024521A"/>
    <w:rsid w:val="00245565"/>
    <w:rsid w:val="00246A62"/>
    <w:rsid w:val="0024754D"/>
    <w:rsid w:val="00250303"/>
    <w:rsid w:val="002511E9"/>
    <w:rsid w:val="00251FE2"/>
    <w:rsid w:val="00252327"/>
    <w:rsid w:val="002523AE"/>
    <w:rsid w:val="002536D7"/>
    <w:rsid w:val="00256ED1"/>
    <w:rsid w:val="0026031F"/>
    <w:rsid w:val="00260865"/>
    <w:rsid w:val="00264508"/>
    <w:rsid w:val="0026532E"/>
    <w:rsid w:val="002661C9"/>
    <w:rsid w:val="00266617"/>
    <w:rsid w:val="00267B7C"/>
    <w:rsid w:val="002716A1"/>
    <w:rsid w:val="00271A2F"/>
    <w:rsid w:val="00271D67"/>
    <w:rsid w:val="002735CF"/>
    <w:rsid w:val="00273CE9"/>
    <w:rsid w:val="00274776"/>
    <w:rsid w:val="00275DFD"/>
    <w:rsid w:val="002763E8"/>
    <w:rsid w:val="002831DE"/>
    <w:rsid w:val="00284B7A"/>
    <w:rsid w:val="00284C94"/>
    <w:rsid w:val="00284CAB"/>
    <w:rsid w:val="00285181"/>
    <w:rsid w:val="00286513"/>
    <w:rsid w:val="00286686"/>
    <w:rsid w:val="002869EC"/>
    <w:rsid w:val="0028703C"/>
    <w:rsid w:val="002903BB"/>
    <w:rsid w:val="00291DE0"/>
    <w:rsid w:val="00292A40"/>
    <w:rsid w:val="00293DAD"/>
    <w:rsid w:val="002948F0"/>
    <w:rsid w:val="002A1697"/>
    <w:rsid w:val="002A2458"/>
    <w:rsid w:val="002A349B"/>
    <w:rsid w:val="002A385B"/>
    <w:rsid w:val="002A53F0"/>
    <w:rsid w:val="002A7832"/>
    <w:rsid w:val="002A7AEE"/>
    <w:rsid w:val="002A7DC7"/>
    <w:rsid w:val="002B093D"/>
    <w:rsid w:val="002B1C1F"/>
    <w:rsid w:val="002B3ABB"/>
    <w:rsid w:val="002B426F"/>
    <w:rsid w:val="002B527D"/>
    <w:rsid w:val="002B5E75"/>
    <w:rsid w:val="002B5F8D"/>
    <w:rsid w:val="002B67E9"/>
    <w:rsid w:val="002B6A51"/>
    <w:rsid w:val="002B6DD3"/>
    <w:rsid w:val="002B6DF0"/>
    <w:rsid w:val="002B7556"/>
    <w:rsid w:val="002B7F82"/>
    <w:rsid w:val="002C0BB9"/>
    <w:rsid w:val="002C27CD"/>
    <w:rsid w:val="002C45C2"/>
    <w:rsid w:val="002C4C2A"/>
    <w:rsid w:val="002C502F"/>
    <w:rsid w:val="002C5D88"/>
    <w:rsid w:val="002C753C"/>
    <w:rsid w:val="002D2768"/>
    <w:rsid w:val="002D3477"/>
    <w:rsid w:val="002D466E"/>
    <w:rsid w:val="002D5B15"/>
    <w:rsid w:val="002D7261"/>
    <w:rsid w:val="002E09CE"/>
    <w:rsid w:val="002E1B1C"/>
    <w:rsid w:val="002E2E4E"/>
    <w:rsid w:val="002E523D"/>
    <w:rsid w:val="002E53F7"/>
    <w:rsid w:val="002E5846"/>
    <w:rsid w:val="002E6075"/>
    <w:rsid w:val="002E696D"/>
    <w:rsid w:val="002E7FBF"/>
    <w:rsid w:val="002F00EC"/>
    <w:rsid w:val="002F0864"/>
    <w:rsid w:val="002F3548"/>
    <w:rsid w:val="002F360E"/>
    <w:rsid w:val="002F4515"/>
    <w:rsid w:val="002F5F89"/>
    <w:rsid w:val="002F623E"/>
    <w:rsid w:val="002F7CC6"/>
    <w:rsid w:val="00301BAA"/>
    <w:rsid w:val="00302EAD"/>
    <w:rsid w:val="00303D61"/>
    <w:rsid w:val="00304E6F"/>
    <w:rsid w:val="003068DA"/>
    <w:rsid w:val="00310DA8"/>
    <w:rsid w:val="00312AF5"/>
    <w:rsid w:val="0031318A"/>
    <w:rsid w:val="00313841"/>
    <w:rsid w:val="00314618"/>
    <w:rsid w:val="00315E26"/>
    <w:rsid w:val="00316947"/>
    <w:rsid w:val="003169EC"/>
    <w:rsid w:val="003174A2"/>
    <w:rsid w:val="00320E0F"/>
    <w:rsid w:val="003213AA"/>
    <w:rsid w:val="0032213B"/>
    <w:rsid w:val="003223CE"/>
    <w:rsid w:val="00322849"/>
    <w:rsid w:val="00322F25"/>
    <w:rsid w:val="00323CE6"/>
    <w:rsid w:val="0032461C"/>
    <w:rsid w:val="003247C3"/>
    <w:rsid w:val="003253CB"/>
    <w:rsid w:val="00327445"/>
    <w:rsid w:val="00330E3C"/>
    <w:rsid w:val="00331AFF"/>
    <w:rsid w:val="0033212E"/>
    <w:rsid w:val="00336A4B"/>
    <w:rsid w:val="0034085D"/>
    <w:rsid w:val="003410ED"/>
    <w:rsid w:val="00341261"/>
    <w:rsid w:val="00342994"/>
    <w:rsid w:val="003440F4"/>
    <w:rsid w:val="003441ED"/>
    <w:rsid w:val="0034485D"/>
    <w:rsid w:val="003459DC"/>
    <w:rsid w:val="00345C01"/>
    <w:rsid w:val="00345D99"/>
    <w:rsid w:val="00346186"/>
    <w:rsid w:val="00346310"/>
    <w:rsid w:val="003464B2"/>
    <w:rsid w:val="0034679B"/>
    <w:rsid w:val="00347588"/>
    <w:rsid w:val="0034797C"/>
    <w:rsid w:val="00347FB3"/>
    <w:rsid w:val="003506C9"/>
    <w:rsid w:val="00350820"/>
    <w:rsid w:val="00350E91"/>
    <w:rsid w:val="0035119D"/>
    <w:rsid w:val="00351A9D"/>
    <w:rsid w:val="00352B13"/>
    <w:rsid w:val="00352B89"/>
    <w:rsid w:val="003542CD"/>
    <w:rsid w:val="0035483A"/>
    <w:rsid w:val="003549E5"/>
    <w:rsid w:val="00356798"/>
    <w:rsid w:val="00357FD5"/>
    <w:rsid w:val="00360C04"/>
    <w:rsid w:val="00360C25"/>
    <w:rsid w:val="00360C9B"/>
    <w:rsid w:val="003636A1"/>
    <w:rsid w:val="00365597"/>
    <w:rsid w:val="00366F82"/>
    <w:rsid w:val="00367C6F"/>
    <w:rsid w:val="00372135"/>
    <w:rsid w:val="003727CF"/>
    <w:rsid w:val="00373D79"/>
    <w:rsid w:val="00374031"/>
    <w:rsid w:val="00374998"/>
    <w:rsid w:val="003829AD"/>
    <w:rsid w:val="00384668"/>
    <w:rsid w:val="003855BB"/>
    <w:rsid w:val="00385965"/>
    <w:rsid w:val="00386584"/>
    <w:rsid w:val="00387332"/>
    <w:rsid w:val="00387CE9"/>
    <w:rsid w:val="00393CDF"/>
    <w:rsid w:val="00394689"/>
    <w:rsid w:val="0039498B"/>
    <w:rsid w:val="00394DC8"/>
    <w:rsid w:val="00395EDD"/>
    <w:rsid w:val="0039613C"/>
    <w:rsid w:val="00396A8D"/>
    <w:rsid w:val="0039789A"/>
    <w:rsid w:val="003A1A5E"/>
    <w:rsid w:val="003A1A9F"/>
    <w:rsid w:val="003A66F6"/>
    <w:rsid w:val="003A7CD0"/>
    <w:rsid w:val="003B2F85"/>
    <w:rsid w:val="003B34AD"/>
    <w:rsid w:val="003B3DBC"/>
    <w:rsid w:val="003B60D8"/>
    <w:rsid w:val="003B681C"/>
    <w:rsid w:val="003B6B0F"/>
    <w:rsid w:val="003C1EF9"/>
    <w:rsid w:val="003C3E81"/>
    <w:rsid w:val="003C5885"/>
    <w:rsid w:val="003C5F5A"/>
    <w:rsid w:val="003D3DD1"/>
    <w:rsid w:val="003D6504"/>
    <w:rsid w:val="003D6726"/>
    <w:rsid w:val="003D71E3"/>
    <w:rsid w:val="003E000E"/>
    <w:rsid w:val="003E21C2"/>
    <w:rsid w:val="003E3CBB"/>
    <w:rsid w:val="003E404F"/>
    <w:rsid w:val="003E57CB"/>
    <w:rsid w:val="003ED297"/>
    <w:rsid w:val="003F016E"/>
    <w:rsid w:val="003F05DF"/>
    <w:rsid w:val="003F0727"/>
    <w:rsid w:val="003F2DA7"/>
    <w:rsid w:val="003F3870"/>
    <w:rsid w:val="003F3F28"/>
    <w:rsid w:val="003F6022"/>
    <w:rsid w:val="003F6516"/>
    <w:rsid w:val="003F657B"/>
    <w:rsid w:val="003F7197"/>
    <w:rsid w:val="00402120"/>
    <w:rsid w:val="00404E0E"/>
    <w:rsid w:val="00405F0A"/>
    <w:rsid w:val="004064F1"/>
    <w:rsid w:val="00406833"/>
    <w:rsid w:val="00406DFA"/>
    <w:rsid w:val="004070FF"/>
    <w:rsid w:val="0040781C"/>
    <w:rsid w:val="00407C52"/>
    <w:rsid w:val="00410EAA"/>
    <w:rsid w:val="004111CB"/>
    <w:rsid w:val="00414F5A"/>
    <w:rsid w:val="00416C0C"/>
    <w:rsid w:val="00417241"/>
    <w:rsid w:val="00417D4B"/>
    <w:rsid w:val="00417F62"/>
    <w:rsid w:val="00421233"/>
    <w:rsid w:val="004215BA"/>
    <w:rsid w:val="004226F4"/>
    <w:rsid w:val="0042289D"/>
    <w:rsid w:val="0042709A"/>
    <w:rsid w:val="00430E23"/>
    <w:rsid w:val="00430FA1"/>
    <w:rsid w:val="00431A2F"/>
    <w:rsid w:val="00432CB4"/>
    <w:rsid w:val="0043300B"/>
    <w:rsid w:val="0043384D"/>
    <w:rsid w:val="00434226"/>
    <w:rsid w:val="00436A9A"/>
    <w:rsid w:val="00437965"/>
    <w:rsid w:val="00437D13"/>
    <w:rsid w:val="00437DEE"/>
    <w:rsid w:val="00437F65"/>
    <w:rsid w:val="0044162B"/>
    <w:rsid w:val="00442D20"/>
    <w:rsid w:val="004438D3"/>
    <w:rsid w:val="00443A8B"/>
    <w:rsid w:val="00446A3E"/>
    <w:rsid w:val="004506BC"/>
    <w:rsid w:val="00450FB8"/>
    <w:rsid w:val="00453A19"/>
    <w:rsid w:val="00453AF5"/>
    <w:rsid w:val="004553D3"/>
    <w:rsid w:val="004559AE"/>
    <w:rsid w:val="00456A02"/>
    <w:rsid w:val="00457DC1"/>
    <w:rsid w:val="00462027"/>
    <w:rsid w:val="00462D37"/>
    <w:rsid w:val="0046363E"/>
    <w:rsid w:val="004638E0"/>
    <w:rsid w:val="00464355"/>
    <w:rsid w:val="0047010C"/>
    <w:rsid w:val="00470C39"/>
    <w:rsid w:val="004714F3"/>
    <w:rsid w:val="00472ACD"/>
    <w:rsid w:val="00472D21"/>
    <w:rsid w:val="00473D53"/>
    <w:rsid w:val="00474047"/>
    <w:rsid w:val="00474E93"/>
    <w:rsid w:val="00475446"/>
    <w:rsid w:val="00475495"/>
    <w:rsid w:val="0047581E"/>
    <w:rsid w:val="00475A62"/>
    <w:rsid w:val="00477503"/>
    <w:rsid w:val="00477AC9"/>
    <w:rsid w:val="004807D7"/>
    <w:rsid w:val="00483E09"/>
    <w:rsid w:val="00484E9D"/>
    <w:rsid w:val="0048511E"/>
    <w:rsid w:val="0048528C"/>
    <w:rsid w:val="00485460"/>
    <w:rsid w:val="004855CD"/>
    <w:rsid w:val="0048562D"/>
    <w:rsid w:val="004879B5"/>
    <w:rsid w:val="00487E9B"/>
    <w:rsid w:val="00490B75"/>
    <w:rsid w:val="0049118E"/>
    <w:rsid w:val="004911D6"/>
    <w:rsid w:val="0049132D"/>
    <w:rsid w:val="00491574"/>
    <w:rsid w:val="00491EF2"/>
    <w:rsid w:val="004964EF"/>
    <w:rsid w:val="004A00E2"/>
    <w:rsid w:val="004A1236"/>
    <w:rsid w:val="004A1537"/>
    <w:rsid w:val="004A1625"/>
    <w:rsid w:val="004A3CC1"/>
    <w:rsid w:val="004A54C4"/>
    <w:rsid w:val="004A5AB5"/>
    <w:rsid w:val="004B1D31"/>
    <w:rsid w:val="004B451F"/>
    <w:rsid w:val="004B4E18"/>
    <w:rsid w:val="004B4E39"/>
    <w:rsid w:val="004B579E"/>
    <w:rsid w:val="004C0809"/>
    <w:rsid w:val="004C0899"/>
    <w:rsid w:val="004C1BDD"/>
    <w:rsid w:val="004C1F3D"/>
    <w:rsid w:val="004C32C9"/>
    <w:rsid w:val="004C38EC"/>
    <w:rsid w:val="004C4E5A"/>
    <w:rsid w:val="004C4E70"/>
    <w:rsid w:val="004C534F"/>
    <w:rsid w:val="004C5E05"/>
    <w:rsid w:val="004C7B81"/>
    <w:rsid w:val="004D0044"/>
    <w:rsid w:val="004D05FF"/>
    <w:rsid w:val="004D0856"/>
    <w:rsid w:val="004D2EB8"/>
    <w:rsid w:val="004D504F"/>
    <w:rsid w:val="004D581E"/>
    <w:rsid w:val="004E055F"/>
    <w:rsid w:val="004E0CAB"/>
    <w:rsid w:val="004E1586"/>
    <w:rsid w:val="004E3D99"/>
    <w:rsid w:val="004E62D0"/>
    <w:rsid w:val="004E6988"/>
    <w:rsid w:val="004E7658"/>
    <w:rsid w:val="004E7B5F"/>
    <w:rsid w:val="004E7C5E"/>
    <w:rsid w:val="004F1420"/>
    <w:rsid w:val="004F150D"/>
    <w:rsid w:val="004F21E2"/>
    <w:rsid w:val="004F3C84"/>
    <w:rsid w:val="004F54A0"/>
    <w:rsid w:val="004F6E57"/>
    <w:rsid w:val="0050073F"/>
    <w:rsid w:val="00501F14"/>
    <w:rsid w:val="0050290E"/>
    <w:rsid w:val="00503292"/>
    <w:rsid w:val="00503C65"/>
    <w:rsid w:val="00504304"/>
    <w:rsid w:val="00506156"/>
    <w:rsid w:val="00507990"/>
    <w:rsid w:val="00507D7A"/>
    <w:rsid w:val="00507E32"/>
    <w:rsid w:val="0051011C"/>
    <w:rsid w:val="00511F14"/>
    <w:rsid w:val="00512C2B"/>
    <w:rsid w:val="00512F70"/>
    <w:rsid w:val="00513554"/>
    <w:rsid w:val="00513C90"/>
    <w:rsid w:val="00513F23"/>
    <w:rsid w:val="005157AC"/>
    <w:rsid w:val="00515AFE"/>
    <w:rsid w:val="0052062B"/>
    <w:rsid w:val="005221C3"/>
    <w:rsid w:val="00522EDC"/>
    <w:rsid w:val="005245A4"/>
    <w:rsid w:val="00524B16"/>
    <w:rsid w:val="0052726B"/>
    <w:rsid w:val="00532673"/>
    <w:rsid w:val="00534849"/>
    <w:rsid w:val="00535477"/>
    <w:rsid w:val="0053711C"/>
    <w:rsid w:val="0054003B"/>
    <w:rsid w:val="005416BF"/>
    <w:rsid w:val="00541DC3"/>
    <w:rsid w:val="00542F2F"/>
    <w:rsid w:val="005438D0"/>
    <w:rsid w:val="00544ABD"/>
    <w:rsid w:val="0054552E"/>
    <w:rsid w:val="00546E75"/>
    <w:rsid w:val="00547D9C"/>
    <w:rsid w:val="005502BC"/>
    <w:rsid w:val="00551862"/>
    <w:rsid w:val="00551A2A"/>
    <w:rsid w:val="00552634"/>
    <w:rsid w:val="005557FB"/>
    <w:rsid w:val="00557038"/>
    <w:rsid w:val="00560A31"/>
    <w:rsid w:val="00563122"/>
    <w:rsid w:val="00563AA2"/>
    <w:rsid w:val="00563C1D"/>
    <w:rsid w:val="005653DB"/>
    <w:rsid w:val="005659C6"/>
    <w:rsid w:val="005660A3"/>
    <w:rsid w:val="00567CB5"/>
    <w:rsid w:val="00567F03"/>
    <w:rsid w:val="00572542"/>
    <w:rsid w:val="0057393E"/>
    <w:rsid w:val="00573D15"/>
    <w:rsid w:val="00580E0B"/>
    <w:rsid w:val="00581435"/>
    <w:rsid w:val="00581523"/>
    <w:rsid w:val="00584E82"/>
    <w:rsid w:val="0058520F"/>
    <w:rsid w:val="00586FD7"/>
    <w:rsid w:val="0058726B"/>
    <w:rsid w:val="00592F95"/>
    <w:rsid w:val="0059470C"/>
    <w:rsid w:val="00594AFD"/>
    <w:rsid w:val="005A003C"/>
    <w:rsid w:val="005A1AE2"/>
    <w:rsid w:val="005A2473"/>
    <w:rsid w:val="005A502B"/>
    <w:rsid w:val="005B04A4"/>
    <w:rsid w:val="005B0CAB"/>
    <w:rsid w:val="005B0D2A"/>
    <w:rsid w:val="005B1B7C"/>
    <w:rsid w:val="005B3828"/>
    <w:rsid w:val="005B3EB6"/>
    <w:rsid w:val="005B6B0F"/>
    <w:rsid w:val="005B6CAF"/>
    <w:rsid w:val="005B6D68"/>
    <w:rsid w:val="005C180E"/>
    <w:rsid w:val="005C30AD"/>
    <w:rsid w:val="005C46C4"/>
    <w:rsid w:val="005C6C4F"/>
    <w:rsid w:val="005D0A34"/>
    <w:rsid w:val="005D0E58"/>
    <w:rsid w:val="005D13B2"/>
    <w:rsid w:val="005D1724"/>
    <w:rsid w:val="005D201F"/>
    <w:rsid w:val="005D23A9"/>
    <w:rsid w:val="005D406A"/>
    <w:rsid w:val="005D46EF"/>
    <w:rsid w:val="005D4846"/>
    <w:rsid w:val="005D5411"/>
    <w:rsid w:val="005D5AE1"/>
    <w:rsid w:val="005D5FC9"/>
    <w:rsid w:val="005D6FFC"/>
    <w:rsid w:val="005E0CBD"/>
    <w:rsid w:val="005E26C9"/>
    <w:rsid w:val="005E4087"/>
    <w:rsid w:val="005E4FDD"/>
    <w:rsid w:val="005E5713"/>
    <w:rsid w:val="005E6495"/>
    <w:rsid w:val="005E6F9D"/>
    <w:rsid w:val="005F1194"/>
    <w:rsid w:val="005F1C76"/>
    <w:rsid w:val="005F200D"/>
    <w:rsid w:val="005F4321"/>
    <w:rsid w:val="005F4570"/>
    <w:rsid w:val="005F5371"/>
    <w:rsid w:val="005F5B5A"/>
    <w:rsid w:val="005F668B"/>
    <w:rsid w:val="005F68F4"/>
    <w:rsid w:val="005F7C3C"/>
    <w:rsid w:val="005F7CDB"/>
    <w:rsid w:val="00601D6F"/>
    <w:rsid w:val="006027B0"/>
    <w:rsid w:val="00603E37"/>
    <w:rsid w:val="00603F29"/>
    <w:rsid w:val="006045DB"/>
    <w:rsid w:val="006049EF"/>
    <w:rsid w:val="00606295"/>
    <w:rsid w:val="0060660E"/>
    <w:rsid w:val="00607B3A"/>
    <w:rsid w:val="00607C34"/>
    <w:rsid w:val="00607EAE"/>
    <w:rsid w:val="00610B3F"/>
    <w:rsid w:val="006113B9"/>
    <w:rsid w:val="006126D0"/>
    <w:rsid w:val="00613C62"/>
    <w:rsid w:val="00613E0C"/>
    <w:rsid w:val="00613F81"/>
    <w:rsid w:val="00614EDC"/>
    <w:rsid w:val="00616E10"/>
    <w:rsid w:val="00621721"/>
    <w:rsid w:val="00621825"/>
    <w:rsid w:val="00624D72"/>
    <w:rsid w:val="00624DE1"/>
    <w:rsid w:val="00625E15"/>
    <w:rsid w:val="006267DF"/>
    <w:rsid w:val="00627A5E"/>
    <w:rsid w:val="00627BFF"/>
    <w:rsid w:val="00630843"/>
    <w:rsid w:val="006309D4"/>
    <w:rsid w:val="006314F0"/>
    <w:rsid w:val="006319D3"/>
    <w:rsid w:val="00632462"/>
    <w:rsid w:val="00632CC8"/>
    <w:rsid w:val="00636492"/>
    <w:rsid w:val="006371C5"/>
    <w:rsid w:val="0064007E"/>
    <w:rsid w:val="0064021D"/>
    <w:rsid w:val="0064083C"/>
    <w:rsid w:val="00641DDD"/>
    <w:rsid w:val="00644E26"/>
    <w:rsid w:val="00645901"/>
    <w:rsid w:val="00647158"/>
    <w:rsid w:val="00651E39"/>
    <w:rsid w:val="00653856"/>
    <w:rsid w:val="00654125"/>
    <w:rsid w:val="0065474D"/>
    <w:rsid w:val="00655EBB"/>
    <w:rsid w:val="00656170"/>
    <w:rsid w:val="00657BB5"/>
    <w:rsid w:val="0066050D"/>
    <w:rsid w:val="0066246D"/>
    <w:rsid w:val="00662FBC"/>
    <w:rsid w:val="006645A4"/>
    <w:rsid w:val="00666BED"/>
    <w:rsid w:val="00667B1B"/>
    <w:rsid w:val="00667C13"/>
    <w:rsid w:val="00672577"/>
    <w:rsid w:val="00673A31"/>
    <w:rsid w:val="00673AF5"/>
    <w:rsid w:val="00673B8B"/>
    <w:rsid w:val="00676204"/>
    <w:rsid w:val="0067683E"/>
    <w:rsid w:val="00677968"/>
    <w:rsid w:val="006804CA"/>
    <w:rsid w:val="0068072E"/>
    <w:rsid w:val="006819E2"/>
    <w:rsid w:val="00682CCE"/>
    <w:rsid w:val="00683028"/>
    <w:rsid w:val="00683449"/>
    <w:rsid w:val="00685DC8"/>
    <w:rsid w:val="00685E5E"/>
    <w:rsid w:val="006860C8"/>
    <w:rsid w:val="006869F3"/>
    <w:rsid w:val="00687A38"/>
    <w:rsid w:val="00690A52"/>
    <w:rsid w:val="00692FDD"/>
    <w:rsid w:val="00694A93"/>
    <w:rsid w:val="0069590D"/>
    <w:rsid w:val="00697C23"/>
    <w:rsid w:val="00697D00"/>
    <w:rsid w:val="006A20D5"/>
    <w:rsid w:val="006A3883"/>
    <w:rsid w:val="006A3CBB"/>
    <w:rsid w:val="006A4D78"/>
    <w:rsid w:val="006A5A9A"/>
    <w:rsid w:val="006A6FE7"/>
    <w:rsid w:val="006A76A9"/>
    <w:rsid w:val="006B5092"/>
    <w:rsid w:val="006B577D"/>
    <w:rsid w:val="006B6197"/>
    <w:rsid w:val="006B72B7"/>
    <w:rsid w:val="006C32C2"/>
    <w:rsid w:val="006C4EAA"/>
    <w:rsid w:val="006C5375"/>
    <w:rsid w:val="006C55F5"/>
    <w:rsid w:val="006C682F"/>
    <w:rsid w:val="006D0BE3"/>
    <w:rsid w:val="006D1EF7"/>
    <w:rsid w:val="006D22E9"/>
    <w:rsid w:val="006D278A"/>
    <w:rsid w:val="006D2AD5"/>
    <w:rsid w:val="006D2D67"/>
    <w:rsid w:val="006D45CC"/>
    <w:rsid w:val="006D59DA"/>
    <w:rsid w:val="006D7800"/>
    <w:rsid w:val="006E0828"/>
    <w:rsid w:val="006E16F0"/>
    <w:rsid w:val="006E2481"/>
    <w:rsid w:val="006E2754"/>
    <w:rsid w:val="006E49A2"/>
    <w:rsid w:val="006E4B7F"/>
    <w:rsid w:val="006E6D49"/>
    <w:rsid w:val="006E6DBD"/>
    <w:rsid w:val="006E6F99"/>
    <w:rsid w:val="006F0C26"/>
    <w:rsid w:val="006F0CB0"/>
    <w:rsid w:val="006F10AA"/>
    <w:rsid w:val="006F2393"/>
    <w:rsid w:val="006F3D5B"/>
    <w:rsid w:val="006F440A"/>
    <w:rsid w:val="006F572C"/>
    <w:rsid w:val="006F7977"/>
    <w:rsid w:val="00700B9F"/>
    <w:rsid w:val="00700E24"/>
    <w:rsid w:val="007049EB"/>
    <w:rsid w:val="00705AFD"/>
    <w:rsid w:val="00710129"/>
    <w:rsid w:val="007107EE"/>
    <w:rsid w:val="00710B85"/>
    <w:rsid w:val="00710F95"/>
    <w:rsid w:val="00712139"/>
    <w:rsid w:val="00713B1D"/>
    <w:rsid w:val="00715658"/>
    <w:rsid w:val="00717535"/>
    <w:rsid w:val="0071768F"/>
    <w:rsid w:val="00720777"/>
    <w:rsid w:val="007215C5"/>
    <w:rsid w:val="00721A63"/>
    <w:rsid w:val="007231C8"/>
    <w:rsid w:val="007237D0"/>
    <w:rsid w:val="007242ED"/>
    <w:rsid w:val="00724A69"/>
    <w:rsid w:val="00727412"/>
    <w:rsid w:val="0073006D"/>
    <w:rsid w:val="00731496"/>
    <w:rsid w:val="00734834"/>
    <w:rsid w:val="00734F75"/>
    <w:rsid w:val="007351BB"/>
    <w:rsid w:val="00737513"/>
    <w:rsid w:val="00737AA3"/>
    <w:rsid w:val="00740C27"/>
    <w:rsid w:val="00741100"/>
    <w:rsid w:val="00741F06"/>
    <w:rsid w:val="00742F94"/>
    <w:rsid w:val="00742FE5"/>
    <w:rsid w:val="0074329B"/>
    <w:rsid w:val="00743866"/>
    <w:rsid w:val="007463D0"/>
    <w:rsid w:val="0075003A"/>
    <w:rsid w:val="007517FC"/>
    <w:rsid w:val="00753123"/>
    <w:rsid w:val="00757EBF"/>
    <w:rsid w:val="0076228E"/>
    <w:rsid w:val="00762A9A"/>
    <w:rsid w:val="00762A9B"/>
    <w:rsid w:val="0076315A"/>
    <w:rsid w:val="00764221"/>
    <w:rsid w:val="007667A7"/>
    <w:rsid w:val="00767EC0"/>
    <w:rsid w:val="00770A47"/>
    <w:rsid w:val="007712EC"/>
    <w:rsid w:val="007737F5"/>
    <w:rsid w:val="007749B8"/>
    <w:rsid w:val="00774A4F"/>
    <w:rsid w:val="00775750"/>
    <w:rsid w:val="00776AE9"/>
    <w:rsid w:val="00776CC0"/>
    <w:rsid w:val="00776CE6"/>
    <w:rsid w:val="00777609"/>
    <w:rsid w:val="00777F95"/>
    <w:rsid w:val="00783853"/>
    <w:rsid w:val="00784C2B"/>
    <w:rsid w:val="0078533B"/>
    <w:rsid w:val="00786A4A"/>
    <w:rsid w:val="0078E7A3"/>
    <w:rsid w:val="00791DE4"/>
    <w:rsid w:val="00792C4C"/>
    <w:rsid w:val="00793C98"/>
    <w:rsid w:val="0079662D"/>
    <w:rsid w:val="0079686A"/>
    <w:rsid w:val="007972A0"/>
    <w:rsid w:val="007A00B5"/>
    <w:rsid w:val="007A2ADA"/>
    <w:rsid w:val="007A2C43"/>
    <w:rsid w:val="007A4D09"/>
    <w:rsid w:val="007A5539"/>
    <w:rsid w:val="007A55D4"/>
    <w:rsid w:val="007A644E"/>
    <w:rsid w:val="007A7341"/>
    <w:rsid w:val="007A7F50"/>
    <w:rsid w:val="007B0B9C"/>
    <w:rsid w:val="007B1438"/>
    <w:rsid w:val="007B1622"/>
    <w:rsid w:val="007B1B47"/>
    <w:rsid w:val="007B1DF5"/>
    <w:rsid w:val="007B2442"/>
    <w:rsid w:val="007B278A"/>
    <w:rsid w:val="007B2DA8"/>
    <w:rsid w:val="007B5698"/>
    <w:rsid w:val="007B5D21"/>
    <w:rsid w:val="007B627C"/>
    <w:rsid w:val="007B6B3B"/>
    <w:rsid w:val="007B7891"/>
    <w:rsid w:val="007C0F7B"/>
    <w:rsid w:val="007C16E2"/>
    <w:rsid w:val="007C1ECB"/>
    <w:rsid w:val="007C4234"/>
    <w:rsid w:val="007C4863"/>
    <w:rsid w:val="007C4DFF"/>
    <w:rsid w:val="007C54F0"/>
    <w:rsid w:val="007C55D3"/>
    <w:rsid w:val="007C55F5"/>
    <w:rsid w:val="007C5EE6"/>
    <w:rsid w:val="007C6CB6"/>
    <w:rsid w:val="007C6CF2"/>
    <w:rsid w:val="007C7890"/>
    <w:rsid w:val="007D04DC"/>
    <w:rsid w:val="007D08B9"/>
    <w:rsid w:val="007D118B"/>
    <w:rsid w:val="007D19E6"/>
    <w:rsid w:val="007D4786"/>
    <w:rsid w:val="007D5F19"/>
    <w:rsid w:val="007E0A29"/>
    <w:rsid w:val="007E0C4D"/>
    <w:rsid w:val="007E19DA"/>
    <w:rsid w:val="007E4D51"/>
    <w:rsid w:val="007E5CF3"/>
    <w:rsid w:val="007E6618"/>
    <w:rsid w:val="007E73AF"/>
    <w:rsid w:val="007F1723"/>
    <w:rsid w:val="007F1E61"/>
    <w:rsid w:val="007F2125"/>
    <w:rsid w:val="007F41B6"/>
    <w:rsid w:val="007F4C3B"/>
    <w:rsid w:val="007F5403"/>
    <w:rsid w:val="007F5482"/>
    <w:rsid w:val="007F7382"/>
    <w:rsid w:val="007F7DD1"/>
    <w:rsid w:val="008008E9"/>
    <w:rsid w:val="008022AD"/>
    <w:rsid w:val="00802438"/>
    <w:rsid w:val="008024B2"/>
    <w:rsid w:val="00802CD0"/>
    <w:rsid w:val="00803748"/>
    <w:rsid w:val="00804E8B"/>
    <w:rsid w:val="00804EEB"/>
    <w:rsid w:val="008057CE"/>
    <w:rsid w:val="00805A5A"/>
    <w:rsid w:val="008066B5"/>
    <w:rsid w:val="00806DA8"/>
    <w:rsid w:val="00806DE7"/>
    <w:rsid w:val="00811F7D"/>
    <w:rsid w:val="00812181"/>
    <w:rsid w:val="0081283C"/>
    <w:rsid w:val="008133FD"/>
    <w:rsid w:val="008162FE"/>
    <w:rsid w:val="008169C2"/>
    <w:rsid w:val="008178AD"/>
    <w:rsid w:val="00821266"/>
    <w:rsid w:val="0082161F"/>
    <w:rsid w:val="0082164F"/>
    <w:rsid w:val="008259EC"/>
    <w:rsid w:val="00825CCC"/>
    <w:rsid w:val="00826DBC"/>
    <w:rsid w:val="008276C4"/>
    <w:rsid w:val="00830F75"/>
    <w:rsid w:val="00831E7B"/>
    <w:rsid w:val="00833EB5"/>
    <w:rsid w:val="0083536B"/>
    <w:rsid w:val="00835C22"/>
    <w:rsid w:val="008362F7"/>
    <w:rsid w:val="0083678F"/>
    <w:rsid w:val="00836B00"/>
    <w:rsid w:val="00837E89"/>
    <w:rsid w:val="008410B0"/>
    <w:rsid w:val="00842AA6"/>
    <w:rsid w:val="0084443A"/>
    <w:rsid w:val="008461DE"/>
    <w:rsid w:val="00852DE7"/>
    <w:rsid w:val="00853822"/>
    <w:rsid w:val="00854E17"/>
    <w:rsid w:val="0085780D"/>
    <w:rsid w:val="00857E90"/>
    <w:rsid w:val="008629B0"/>
    <w:rsid w:val="00863BF8"/>
    <w:rsid w:val="00865DD4"/>
    <w:rsid w:val="00865E81"/>
    <w:rsid w:val="008668FC"/>
    <w:rsid w:val="0086717C"/>
    <w:rsid w:val="00867829"/>
    <w:rsid w:val="00870C80"/>
    <w:rsid w:val="008718B3"/>
    <w:rsid w:val="00873BAF"/>
    <w:rsid w:val="00874643"/>
    <w:rsid w:val="008767D2"/>
    <w:rsid w:val="008815CD"/>
    <w:rsid w:val="008817C8"/>
    <w:rsid w:val="00881803"/>
    <w:rsid w:val="00881E07"/>
    <w:rsid w:val="008829FA"/>
    <w:rsid w:val="00885F5D"/>
    <w:rsid w:val="0088756C"/>
    <w:rsid w:val="00887D79"/>
    <w:rsid w:val="00895E9A"/>
    <w:rsid w:val="00897740"/>
    <w:rsid w:val="008A1821"/>
    <w:rsid w:val="008A1B92"/>
    <w:rsid w:val="008A2031"/>
    <w:rsid w:val="008A75FF"/>
    <w:rsid w:val="008B25FE"/>
    <w:rsid w:val="008B2C22"/>
    <w:rsid w:val="008B34F7"/>
    <w:rsid w:val="008B477A"/>
    <w:rsid w:val="008B500D"/>
    <w:rsid w:val="008B675D"/>
    <w:rsid w:val="008B6D7E"/>
    <w:rsid w:val="008B75C5"/>
    <w:rsid w:val="008B7BA5"/>
    <w:rsid w:val="008C47BA"/>
    <w:rsid w:val="008C52B7"/>
    <w:rsid w:val="008C6E59"/>
    <w:rsid w:val="008C7BC1"/>
    <w:rsid w:val="008D070D"/>
    <w:rsid w:val="008D10BB"/>
    <w:rsid w:val="008D13E2"/>
    <w:rsid w:val="008D4C88"/>
    <w:rsid w:val="008D4D2E"/>
    <w:rsid w:val="008D5BB3"/>
    <w:rsid w:val="008D7A06"/>
    <w:rsid w:val="008E28F8"/>
    <w:rsid w:val="008E4310"/>
    <w:rsid w:val="008E66A0"/>
    <w:rsid w:val="008E6FE4"/>
    <w:rsid w:val="008E7F02"/>
    <w:rsid w:val="008F01D4"/>
    <w:rsid w:val="008F0DB0"/>
    <w:rsid w:val="008F151A"/>
    <w:rsid w:val="008F17DA"/>
    <w:rsid w:val="008F292E"/>
    <w:rsid w:val="008F4957"/>
    <w:rsid w:val="008F6E8E"/>
    <w:rsid w:val="008F75DE"/>
    <w:rsid w:val="008F79B0"/>
    <w:rsid w:val="008F7E25"/>
    <w:rsid w:val="009022CC"/>
    <w:rsid w:val="00903705"/>
    <w:rsid w:val="00903884"/>
    <w:rsid w:val="00903A88"/>
    <w:rsid w:val="00904344"/>
    <w:rsid w:val="00904FB5"/>
    <w:rsid w:val="0090517F"/>
    <w:rsid w:val="00913223"/>
    <w:rsid w:val="00914626"/>
    <w:rsid w:val="0092065E"/>
    <w:rsid w:val="0092420D"/>
    <w:rsid w:val="00925947"/>
    <w:rsid w:val="0092689D"/>
    <w:rsid w:val="009302F4"/>
    <w:rsid w:val="0093073B"/>
    <w:rsid w:val="00930F95"/>
    <w:rsid w:val="00931421"/>
    <w:rsid w:val="00931BE9"/>
    <w:rsid w:val="00931CA1"/>
    <w:rsid w:val="00932B61"/>
    <w:rsid w:val="00932E3E"/>
    <w:rsid w:val="009337EF"/>
    <w:rsid w:val="00933991"/>
    <w:rsid w:val="00933EEC"/>
    <w:rsid w:val="0093510E"/>
    <w:rsid w:val="00936B5F"/>
    <w:rsid w:val="0093716C"/>
    <w:rsid w:val="009400A8"/>
    <w:rsid w:val="00940E6D"/>
    <w:rsid w:val="00940F75"/>
    <w:rsid w:val="00941443"/>
    <w:rsid w:val="009416C3"/>
    <w:rsid w:val="00942C4B"/>
    <w:rsid w:val="00944136"/>
    <w:rsid w:val="00944994"/>
    <w:rsid w:val="00946C81"/>
    <w:rsid w:val="00947190"/>
    <w:rsid w:val="0095016F"/>
    <w:rsid w:val="00950B37"/>
    <w:rsid w:val="00950F56"/>
    <w:rsid w:val="009519D0"/>
    <w:rsid w:val="00951F10"/>
    <w:rsid w:val="0095429A"/>
    <w:rsid w:val="00954BD5"/>
    <w:rsid w:val="00955DF8"/>
    <w:rsid w:val="00956404"/>
    <w:rsid w:val="00960012"/>
    <w:rsid w:val="009606EC"/>
    <w:rsid w:val="0096083B"/>
    <w:rsid w:val="00961E93"/>
    <w:rsid w:val="009648CC"/>
    <w:rsid w:val="00964C40"/>
    <w:rsid w:val="00965CB9"/>
    <w:rsid w:val="0097052A"/>
    <w:rsid w:val="0097054D"/>
    <w:rsid w:val="00970626"/>
    <w:rsid w:val="00972062"/>
    <w:rsid w:val="0097267E"/>
    <w:rsid w:val="0097334C"/>
    <w:rsid w:val="00973D00"/>
    <w:rsid w:val="00974014"/>
    <w:rsid w:val="00975E1A"/>
    <w:rsid w:val="009763E6"/>
    <w:rsid w:val="00976E33"/>
    <w:rsid w:val="009778D6"/>
    <w:rsid w:val="009806F4"/>
    <w:rsid w:val="009814AD"/>
    <w:rsid w:val="009839DC"/>
    <w:rsid w:val="0098440D"/>
    <w:rsid w:val="0098582B"/>
    <w:rsid w:val="00986BC8"/>
    <w:rsid w:val="00986CD6"/>
    <w:rsid w:val="00987C42"/>
    <w:rsid w:val="0098CD9B"/>
    <w:rsid w:val="00990411"/>
    <w:rsid w:val="00991877"/>
    <w:rsid w:val="00994D43"/>
    <w:rsid w:val="00995C76"/>
    <w:rsid w:val="009A272C"/>
    <w:rsid w:val="009A2C1B"/>
    <w:rsid w:val="009A33A1"/>
    <w:rsid w:val="009A33BB"/>
    <w:rsid w:val="009A3952"/>
    <w:rsid w:val="009A5A8F"/>
    <w:rsid w:val="009A6A47"/>
    <w:rsid w:val="009A6DDE"/>
    <w:rsid w:val="009B0E3E"/>
    <w:rsid w:val="009B1156"/>
    <w:rsid w:val="009B20BF"/>
    <w:rsid w:val="009B23E3"/>
    <w:rsid w:val="009B3FC4"/>
    <w:rsid w:val="009B4B49"/>
    <w:rsid w:val="009B53E0"/>
    <w:rsid w:val="009B7810"/>
    <w:rsid w:val="009B78EB"/>
    <w:rsid w:val="009C07F6"/>
    <w:rsid w:val="009C327F"/>
    <w:rsid w:val="009C3CB4"/>
    <w:rsid w:val="009C5D53"/>
    <w:rsid w:val="009C6D8A"/>
    <w:rsid w:val="009C7405"/>
    <w:rsid w:val="009C7FB6"/>
    <w:rsid w:val="009D0199"/>
    <w:rsid w:val="009D0458"/>
    <w:rsid w:val="009D0B34"/>
    <w:rsid w:val="009D0FBE"/>
    <w:rsid w:val="009D12E2"/>
    <w:rsid w:val="009D3097"/>
    <w:rsid w:val="009D37F5"/>
    <w:rsid w:val="009D3A9B"/>
    <w:rsid w:val="009D3D30"/>
    <w:rsid w:val="009D6673"/>
    <w:rsid w:val="009D7024"/>
    <w:rsid w:val="009D7911"/>
    <w:rsid w:val="009D79DC"/>
    <w:rsid w:val="009E08FE"/>
    <w:rsid w:val="009E22CC"/>
    <w:rsid w:val="009E396F"/>
    <w:rsid w:val="009E496E"/>
    <w:rsid w:val="009E5B79"/>
    <w:rsid w:val="009E5ECD"/>
    <w:rsid w:val="009E6B29"/>
    <w:rsid w:val="009E7469"/>
    <w:rsid w:val="009E7E70"/>
    <w:rsid w:val="009F06E2"/>
    <w:rsid w:val="009F10C6"/>
    <w:rsid w:val="009F120E"/>
    <w:rsid w:val="009F1FBB"/>
    <w:rsid w:val="009F2E3B"/>
    <w:rsid w:val="009F3FAF"/>
    <w:rsid w:val="009F5531"/>
    <w:rsid w:val="00A003E6"/>
    <w:rsid w:val="00A030CD"/>
    <w:rsid w:val="00A04101"/>
    <w:rsid w:val="00A0533E"/>
    <w:rsid w:val="00A07F41"/>
    <w:rsid w:val="00A10CA5"/>
    <w:rsid w:val="00A12000"/>
    <w:rsid w:val="00A128BA"/>
    <w:rsid w:val="00A14318"/>
    <w:rsid w:val="00A14AF5"/>
    <w:rsid w:val="00A158B6"/>
    <w:rsid w:val="00A17616"/>
    <w:rsid w:val="00A20E39"/>
    <w:rsid w:val="00A20EC5"/>
    <w:rsid w:val="00A21043"/>
    <w:rsid w:val="00A2197E"/>
    <w:rsid w:val="00A22D89"/>
    <w:rsid w:val="00A234F4"/>
    <w:rsid w:val="00A2356B"/>
    <w:rsid w:val="00A236E9"/>
    <w:rsid w:val="00A253ED"/>
    <w:rsid w:val="00A3007B"/>
    <w:rsid w:val="00A3018D"/>
    <w:rsid w:val="00A32515"/>
    <w:rsid w:val="00A328A3"/>
    <w:rsid w:val="00A35D0A"/>
    <w:rsid w:val="00A362A5"/>
    <w:rsid w:val="00A371D3"/>
    <w:rsid w:val="00A40887"/>
    <w:rsid w:val="00A41C4B"/>
    <w:rsid w:val="00A4348F"/>
    <w:rsid w:val="00A43907"/>
    <w:rsid w:val="00A451E9"/>
    <w:rsid w:val="00A474CC"/>
    <w:rsid w:val="00A5333B"/>
    <w:rsid w:val="00A53FA5"/>
    <w:rsid w:val="00A572EB"/>
    <w:rsid w:val="00A625D2"/>
    <w:rsid w:val="00A630A1"/>
    <w:rsid w:val="00A63E9A"/>
    <w:rsid w:val="00A649A9"/>
    <w:rsid w:val="00A64BF5"/>
    <w:rsid w:val="00A673AE"/>
    <w:rsid w:val="00A67897"/>
    <w:rsid w:val="00A711DA"/>
    <w:rsid w:val="00A71647"/>
    <w:rsid w:val="00A71EA4"/>
    <w:rsid w:val="00A725A8"/>
    <w:rsid w:val="00A7557A"/>
    <w:rsid w:val="00A7597F"/>
    <w:rsid w:val="00A81C7D"/>
    <w:rsid w:val="00A8425B"/>
    <w:rsid w:val="00A85D18"/>
    <w:rsid w:val="00A9128C"/>
    <w:rsid w:val="00A920A6"/>
    <w:rsid w:val="00A93828"/>
    <w:rsid w:val="00A94BC3"/>
    <w:rsid w:val="00A950D4"/>
    <w:rsid w:val="00A9529D"/>
    <w:rsid w:val="00A95E5F"/>
    <w:rsid w:val="00A96911"/>
    <w:rsid w:val="00AA0861"/>
    <w:rsid w:val="00AA1B4A"/>
    <w:rsid w:val="00AA2EF8"/>
    <w:rsid w:val="00AA2FA1"/>
    <w:rsid w:val="00AA4148"/>
    <w:rsid w:val="00AA734E"/>
    <w:rsid w:val="00AA7625"/>
    <w:rsid w:val="00AB0663"/>
    <w:rsid w:val="00AB14BB"/>
    <w:rsid w:val="00AB2133"/>
    <w:rsid w:val="00AB288E"/>
    <w:rsid w:val="00AB37A8"/>
    <w:rsid w:val="00AB3A2B"/>
    <w:rsid w:val="00AB468F"/>
    <w:rsid w:val="00AB4779"/>
    <w:rsid w:val="00AB585C"/>
    <w:rsid w:val="00AB6F91"/>
    <w:rsid w:val="00AB7D15"/>
    <w:rsid w:val="00AC0937"/>
    <w:rsid w:val="00AC0A56"/>
    <w:rsid w:val="00AC1668"/>
    <w:rsid w:val="00AC1F90"/>
    <w:rsid w:val="00AC330E"/>
    <w:rsid w:val="00AC687B"/>
    <w:rsid w:val="00AD081D"/>
    <w:rsid w:val="00AD2B4B"/>
    <w:rsid w:val="00AD5898"/>
    <w:rsid w:val="00AD5941"/>
    <w:rsid w:val="00AD64B9"/>
    <w:rsid w:val="00AD6C04"/>
    <w:rsid w:val="00AD6D5F"/>
    <w:rsid w:val="00AE37B3"/>
    <w:rsid w:val="00AE414F"/>
    <w:rsid w:val="00AE6C9D"/>
    <w:rsid w:val="00AE7F2E"/>
    <w:rsid w:val="00AF16D6"/>
    <w:rsid w:val="00AF1D45"/>
    <w:rsid w:val="00AF30E1"/>
    <w:rsid w:val="00AF5376"/>
    <w:rsid w:val="00AF562D"/>
    <w:rsid w:val="00AF6E91"/>
    <w:rsid w:val="00B003A3"/>
    <w:rsid w:val="00B00AF5"/>
    <w:rsid w:val="00B01E8C"/>
    <w:rsid w:val="00B055CD"/>
    <w:rsid w:val="00B057EF"/>
    <w:rsid w:val="00B0692C"/>
    <w:rsid w:val="00B06F8F"/>
    <w:rsid w:val="00B07A16"/>
    <w:rsid w:val="00B102CF"/>
    <w:rsid w:val="00B10E39"/>
    <w:rsid w:val="00B135C9"/>
    <w:rsid w:val="00B15847"/>
    <w:rsid w:val="00B162E7"/>
    <w:rsid w:val="00B16EC1"/>
    <w:rsid w:val="00B174EA"/>
    <w:rsid w:val="00B241D0"/>
    <w:rsid w:val="00B241F7"/>
    <w:rsid w:val="00B265EE"/>
    <w:rsid w:val="00B27155"/>
    <w:rsid w:val="00B271B5"/>
    <w:rsid w:val="00B3067C"/>
    <w:rsid w:val="00B33BDA"/>
    <w:rsid w:val="00B35271"/>
    <w:rsid w:val="00B35D4B"/>
    <w:rsid w:val="00B3656B"/>
    <w:rsid w:val="00B369D9"/>
    <w:rsid w:val="00B37839"/>
    <w:rsid w:val="00B37C2F"/>
    <w:rsid w:val="00B40957"/>
    <w:rsid w:val="00B41E7C"/>
    <w:rsid w:val="00B427DF"/>
    <w:rsid w:val="00B43BEA"/>
    <w:rsid w:val="00B448BA"/>
    <w:rsid w:val="00B45555"/>
    <w:rsid w:val="00B4580A"/>
    <w:rsid w:val="00B45DEC"/>
    <w:rsid w:val="00B47568"/>
    <w:rsid w:val="00B532BB"/>
    <w:rsid w:val="00B54947"/>
    <w:rsid w:val="00B55D16"/>
    <w:rsid w:val="00B573BD"/>
    <w:rsid w:val="00B575F3"/>
    <w:rsid w:val="00B60BCE"/>
    <w:rsid w:val="00B635F3"/>
    <w:rsid w:val="00B6458C"/>
    <w:rsid w:val="00B645BC"/>
    <w:rsid w:val="00B64E54"/>
    <w:rsid w:val="00B6638E"/>
    <w:rsid w:val="00B666BD"/>
    <w:rsid w:val="00B67F91"/>
    <w:rsid w:val="00B71A3E"/>
    <w:rsid w:val="00B72DA6"/>
    <w:rsid w:val="00B73808"/>
    <w:rsid w:val="00B743CD"/>
    <w:rsid w:val="00B74462"/>
    <w:rsid w:val="00B747AC"/>
    <w:rsid w:val="00B75BD5"/>
    <w:rsid w:val="00B80D06"/>
    <w:rsid w:val="00B85D0E"/>
    <w:rsid w:val="00B90ED1"/>
    <w:rsid w:val="00B91054"/>
    <w:rsid w:val="00B91CFE"/>
    <w:rsid w:val="00B938B0"/>
    <w:rsid w:val="00B96819"/>
    <w:rsid w:val="00B96F7F"/>
    <w:rsid w:val="00B97EC2"/>
    <w:rsid w:val="00BA042B"/>
    <w:rsid w:val="00BA09BB"/>
    <w:rsid w:val="00BA0F92"/>
    <w:rsid w:val="00BA2E51"/>
    <w:rsid w:val="00BA2FB0"/>
    <w:rsid w:val="00BA50A2"/>
    <w:rsid w:val="00BA6E27"/>
    <w:rsid w:val="00BA74F0"/>
    <w:rsid w:val="00BB2FF4"/>
    <w:rsid w:val="00BB38D1"/>
    <w:rsid w:val="00BB4AAB"/>
    <w:rsid w:val="00BB5D71"/>
    <w:rsid w:val="00BB6617"/>
    <w:rsid w:val="00BC3525"/>
    <w:rsid w:val="00BC3640"/>
    <w:rsid w:val="00BC525A"/>
    <w:rsid w:val="00BC7EA4"/>
    <w:rsid w:val="00BD0785"/>
    <w:rsid w:val="00BD0AD9"/>
    <w:rsid w:val="00BD0CF5"/>
    <w:rsid w:val="00BD1E85"/>
    <w:rsid w:val="00BD2951"/>
    <w:rsid w:val="00BD4AA9"/>
    <w:rsid w:val="00BD4E66"/>
    <w:rsid w:val="00BD61FE"/>
    <w:rsid w:val="00BE3695"/>
    <w:rsid w:val="00BE79C8"/>
    <w:rsid w:val="00BF12BE"/>
    <w:rsid w:val="00BF2871"/>
    <w:rsid w:val="00BF4029"/>
    <w:rsid w:val="00BF596F"/>
    <w:rsid w:val="00BF6322"/>
    <w:rsid w:val="00BF7658"/>
    <w:rsid w:val="00BF7733"/>
    <w:rsid w:val="00C00056"/>
    <w:rsid w:val="00C014B2"/>
    <w:rsid w:val="00C0166B"/>
    <w:rsid w:val="00C0553B"/>
    <w:rsid w:val="00C101B1"/>
    <w:rsid w:val="00C1076D"/>
    <w:rsid w:val="00C116BE"/>
    <w:rsid w:val="00C149E2"/>
    <w:rsid w:val="00C15660"/>
    <w:rsid w:val="00C1598B"/>
    <w:rsid w:val="00C163C3"/>
    <w:rsid w:val="00C2111A"/>
    <w:rsid w:val="00C2235A"/>
    <w:rsid w:val="00C231EA"/>
    <w:rsid w:val="00C23987"/>
    <w:rsid w:val="00C23DE5"/>
    <w:rsid w:val="00C2558C"/>
    <w:rsid w:val="00C31FA2"/>
    <w:rsid w:val="00C34C28"/>
    <w:rsid w:val="00C35F9B"/>
    <w:rsid w:val="00C3619F"/>
    <w:rsid w:val="00C36B88"/>
    <w:rsid w:val="00C42642"/>
    <w:rsid w:val="00C42CBC"/>
    <w:rsid w:val="00C42F88"/>
    <w:rsid w:val="00C44859"/>
    <w:rsid w:val="00C44922"/>
    <w:rsid w:val="00C449ED"/>
    <w:rsid w:val="00C44FD1"/>
    <w:rsid w:val="00C45243"/>
    <w:rsid w:val="00C55E84"/>
    <w:rsid w:val="00C56453"/>
    <w:rsid w:val="00C56826"/>
    <w:rsid w:val="00C570B0"/>
    <w:rsid w:val="00C5727C"/>
    <w:rsid w:val="00C606EF"/>
    <w:rsid w:val="00C60E30"/>
    <w:rsid w:val="00C61105"/>
    <w:rsid w:val="00C61323"/>
    <w:rsid w:val="00C64B6F"/>
    <w:rsid w:val="00C66B10"/>
    <w:rsid w:val="00C67F8F"/>
    <w:rsid w:val="00C706F7"/>
    <w:rsid w:val="00C708E9"/>
    <w:rsid w:val="00C71316"/>
    <w:rsid w:val="00C71DD9"/>
    <w:rsid w:val="00C72CE4"/>
    <w:rsid w:val="00C73748"/>
    <w:rsid w:val="00C80FFD"/>
    <w:rsid w:val="00C81913"/>
    <w:rsid w:val="00C81D83"/>
    <w:rsid w:val="00C81E81"/>
    <w:rsid w:val="00C824EF"/>
    <w:rsid w:val="00C8475E"/>
    <w:rsid w:val="00C8500A"/>
    <w:rsid w:val="00C8636C"/>
    <w:rsid w:val="00C86C77"/>
    <w:rsid w:val="00C87024"/>
    <w:rsid w:val="00C9007E"/>
    <w:rsid w:val="00C91424"/>
    <w:rsid w:val="00C92228"/>
    <w:rsid w:val="00C924C3"/>
    <w:rsid w:val="00C943D4"/>
    <w:rsid w:val="00C9501D"/>
    <w:rsid w:val="00C95940"/>
    <w:rsid w:val="00CA0E39"/>
    <w:rsid w:val="00CA193B"/>
    <w:rsid w:val="00CA266D"/>
    <w:rsid w:val="00CA3630"/>
    <w:rsid w:val="00CA40C7"/>
    <w:rsid w:val="00CA47C4"/>
    <w:rsid w:val="00CA5743"/>
    <w:rsid w:val="00CA5A58"/>
    <w:rsid w:val="00CA5E14"/>
    <w:rsid w:val="00CB1D42"/>
    <w:rsid w:val="00CB2C43"/>
    <w:rsid w:val="00CB311E"/>
    <w:rsid w:val="00CB36FD"/>
    <w:rsid w:val="00CB6EF2"/>
    <w:rsid w:val="00CB7CDB"/>
    <w:rsid w:val="00CC0C13"/>
    <w:rsid w:val="00CC0E05"/>
    <w:rsid w:val="00CC3EA1"/>
    <w:rsid w:val="00CC44AB"/>
    <w:rsid w:val="00CC450A"/>
    <w:rsid w:val="00CC50E7"/>
    <w:rsid w:val="00CC544E"/>
    <w:rsid w:val="00CC6C54"/>
    <w:rsid w:val="00CD0736"/>
    <w:rsid w:val="00CD2278"/>
    <w:rsid w:val="00CD235E"/>
    <w:rsid w:val="00CD27BC"/>
    <w:rsid w:val="00CD293B"/>
    <w:rsid w:val="00CD2BC3"/>
    <w:rsid w:val="00CD3BD2"/>
    <w:rsid w:val="00CD42D5"/>
    <w:rsid w:val="00CD55B0"/>
    <w:rsid w:val="00CD6C4E"/>
    <w:rsid w:val="00CD6D78"/>
    <w:rsid w:val="00CE1281"/>
    <w:rsid w:val="00CE15F2"/>
    <w:rsid w:val="00CE29AD"/>
    <w:rsid w:val="00CE3774"/>
    <w:rsid w:val="00CE47A1"/>
    <w:rsid w:val="00CE4FE5"/>
    <w:rsid w:val="00CE5516"/>
    <w:rsid w:val="00CE56F4"/>
    <w:rsid w:val="00CE6D27"/>
    <w:rsid w:val="00CE72D9"/>
    <w:rsid w:val="00CE7DC2"/>
    <w:rsid w:val="00CF09C6"/>
    <w:rsid w:val="00CF0A85"/>
    <w:rsid w:val="00CF0DEF"/>
    <w:rsid w:val="00CF208A"/>
    <w:rsid w:val="00CF2119"/>
    <w:rsid w:val="00CF2304"/>
    <w:rsid w:val="00CF433A"/>
    <w:rsid w:val="00CF4AB1"/>
    <w:rsid w:val="00CF5032"/>
    <w:rsid w:val="00CF526F"/>
    <w:rsid w:val="00CF549C"/>
    <w:rsid w:val="00CF560B"/>
    <w:rsid w:val="00CF6548"/>
    <w:rsid w:val="00D0734C"/>
    <w:rsid w:val="00D0751E"/>
    <w:rsid w:val="00D100AF"/>
    <w:rsid w:val="00D116C8"/>
    <w:rsid w:val="00D11C31"/>
    <w:rsid w:val="00D11C9A"/>
    <w:rsid w:val="00D12712"/>
    <w:rsid w:val="00D133A7"/>
    <w:rsid w:val="00D13754"/>
    <w:rsid w:val="00D14018"/>
    <w:rsid w:val="00D14ACC"/>
    <w:rsid w:val="00D14ADB"/>
    <w:rsid w:val="00D14C49"/>
    <w:rsid w:val="00D15201"/>
    <w:rsid w:val="00D15359"/>
    <w:rsid w:val="00D16177"/>
    <w:rsid w:val="00D16819"/>
    <w:rsid w:val="00D178D5"/>
    <w:rsid w:val="00D20E27"/>
    <w:rsid w:val="00D24465"/>
    <w:rsid w:val="00D2453F"/>
    <w:rsid w:val="00D25EF2"/>
    <w:rsid w:val="00D260CE"/>
    <w:rsid w:val="00D30D5D"/>
    <w:rsid w:val="00D31423"/>
    <w:rsid w:val="00D3172B"/>
    <w:rsid w:val="00D31A34"/>
    <w:rsid w:val="00D31C62"/>
    <w:rsid w:val="00D35853"/>
    <w:rsid w:val="00D35FCA"/>
    <w:rsid w:val="00D36025"/>
    <w:rsid w:val="00D362C6"/>
    <w:rsid w:val="00D36860"/>
    <w:rsid w:val="00D37798"/>
    <w:rsid w:val="00D413BC"/>
    <w:rsid w:val="00D419DD"/>
    <w:rsid w:val="00D42755"/>
    <w:rsid w:val="00D44038"/>
    <w:rsid w:val="00D44237"/>
    <w:rsid w:val="00D46406"/>
    <w:rsid w:val="00D46CEF"/>
    <w:rsid w:val="00D47F1F"/>
    <w:rsid w:val="00D506DF"/>
    <w:rsid w:val="00D50D36"/>
    <w:rsid w:val="00D525ED"/>
    <w:rsid w:val="00D5490A"/>
    <w:rsid w:val="00D5498E"/>
    <w:rsid w:val="00D54CDE"/>
    <w:rsid w:val="00D55004"/>
    <w:rsid w:val="00D56D14"/>
    <w:rsid w:val="00D61BB3"/>
    <w:rsid w:val="00D625F2"/>
    <w:rsid w:val="00D62C9E"/>
    <w:rsid w:val="00D648A8"/>
    <w:rsid w:val="00D6570B"/>
    <w:rsid w:val="00D6729F"/>
    <w:rsid w:val="00D67377"/>
    <w:rsid w:val="00D711DB"/>
    <w:rsid w:val="00D72402"/>
    <w:rsid w:val="00D731D4"/>
    <w:rsid w:val="00D7322E"/>
    <w:rsid w:val="00D74200"/>
    <w:rsid w:val="00D80B39"/>
    <w:rsid w:val="00D81A81"/>
    <w:rsid w:val="00D826C5"/>
    <w:rsid w:val="00D82728"/>
    <w:rsid w:val="00D83B67"/>
    <w:rsid w:val="00D83E0F"/>
    <w:rsid w:val="00D83E40"/>
    <w:rsid w:val="00D872AB"/>
    <w:rsid w:val="00D91CD7"/>
    <w:rsid w:val="00D948E9"/>
    <w:rsid w:val="00D94D53"/>
    <w:rsid w:val="00D9753D"/>
    <w:rsid w:val="00DA1558"/>
    <w:rsid w:val="00DA1B15"/>
    <w:rsid w:val="00DA242E"/>
    <w:rsid w:val="00DA26F8"/>
    <w:rsid w:val="00DA2813"/>
    <w:rsid w:val="00DA2B62"/>
    <w:rsid w:val="00DA486D"/>
    <w:rsid w:val="00DA56D7"/>
    <w:rsid w:val="00DA579D"/>
    <w:rsid w:val="00DA6B3D"/>
    <w:rsid w:val="00DB1A15"/>
    <w:rsid w:val="00DB3252"/>
    <w:rsid w:val="00DB3AA2"/>
    <w:rsid w:val="00DB6222"/>
    <w:rsid w:val="00DB76A5"/>
    <w:rsid w:val="00DC09BC"/>
    <w:rsid w:val="00DC1686"/>
    <w:rsid w:val="00DC18E5"/>
    <w:rsid w:val="00DC1F51"/>
    <w:rsid w:val="00DC33B3"/>
    <w:rsid w:val="00DC38FB"/>
    <w:rsid w:val="00DC4411"/>
    <w:rsid w:val="00DC488C"/>
    <w:rsid w:val="00DC6001"/>
    <w:rsid w:val="00DC7458"/>
    <w:rsid w:val="00DC7668"/>
    <w:rsid w:val="00DC781F"/>
    <w:rsid w:val="00DD00A8"/>
    <w:rsid w:val="00DD16C7"/>
    <w:rsid w:val="00DD4EAF"/>
    <w:rsid w:val="00DD4FD4"/>
    <w:rsid w:val="00DD5E2D"/>
    <w:rsid w:val="00DD6169"/>
    <w:rsid w:val="00DD6658"/>
    <w:rsid w:val="00DD6DEE"/>
    <w:rsid w:val="00DD708F"/>
    <w:rsid w:val="00DE100A"/>
    <w:rsid w:val="00DE1105"/>
    <w:rsid w:val="00DE20E5"/>
    <w:rsid w:val="00DE2282"/>
    <w:rsid w:val="00DE3603"/>
    <w:rsid w:val="00DE3610"/>
    <w:rsid w:val="00DE3B0E"/>
    <w:rsid w:val="00DE43DF"/>
    <w:rsid w:val="00DE47F3"/>
    <w:rsid w:val="00DE53C1"/>
    <w:rsid w:val="00DE60A3"/>
    <w:rsid w:val="00DF029A"/>
    <w:rsid w:val="00DF2E5A"/>
    <w:rsid w:val="00DF47C7"/>
    <w:rsid w:val="00DF4EE5"/>
    <w:rsid w:val="00DF5DD3"/>
    <w:rsid w:val="00E0044A"/>
    <w:rsid w:val="00E007FA"/>
    <w:rsid w:val="00E01952"/>
    <w:rsid w:val="00E03152"/>
    <w:rsid w:val="00E0620D"/>
    <w:rsid w:val="00E06E98"/>
    <w:rsid w:val="00E07295"/>
    <w:rsid w:val="00E10455"/>
    <w:rsid w:val="00E10EC7"/>
    <w:rsid w:val="00E11AFF"/>
    <w:rsid w:val="00E14691"/>
    <w:rsid w:val="00E14FAD"/>
    <w:rsid w:val="00E15636"/>
    <w:rsid w:val="00E16CC5"/>
    <w:rsid w:val="00E20446"/>
    <w:rsid w:val="00E23818"/>
    <w:rsid w:val="00E2619E"/>
    <w:rsid w:val="00E26C49"/>
    <w:rsid w:val="00E31418"/>
    <w:rsid w:val="00E31BA3"/>
    <w:rsid w:val="00E33CE0"/>
    <w:rsid w:val="00E35783"/>
    <w:rsid w:val="00E41874"/>
    <w:rsid w:val="00E4223C"/>
    <w:rsid w:val="00E42B82"/>
    <w:rsid w:val="00E44188"/>
    <w:rsid w:val="00E45761"/>
    <w:rsid w:val="00E45B13"/>
    <w:rsid w:val="00E4635E"/>
    <w:rsid w:val="00E476D7"/>
    <w:rsid w:val="00E47741"/>
    <w:rsid w:val="00E47F72"/>
    <w:rsid w:val="00E51297"/>
    <w:rsid w:val="00E523C1"/>
    <w:rsid w:val="00E53189"/>
    <w:rsid w:val="00E53488"/>
    <w:rsid w:val="00E543AA"/>
    <w:rsid w:val="00E54625"/>
    <w:rsid w:val="00E56217"/>
    <w:rsid w:val="00E5668C"/>
    <w:rsid w:val="00E579A3"/>
    <w:rsid w:val="00E57FD2"/>
    <w:rsid w:val="00E60D5D"/>
    <w:rsid w:val="00E62176"/>
    <w:rsid w:val="00E63924"/>
    <w:rsid w:val="00E6456B"/>
    <w:rsid w:val="00E6541D"/>
    <w:rsid w:val="00E65E2F"/>
    <w:rsid w:val="00E6644C"/>
    <w:rsid w:val="00E71775"/>
    <w:rsid w:val="00E719C4"/>
    <w:rsid w:val="00E71A08"/>
    <w:rsid w:val="00E71BE8"/>
    <w:rsid w:val="00E71E2E"/>
    <w:rsid w:val="00E72DD3"/>
    <w:rsid w:val="00E76E1B"/>
    <w:rsid w:val="00E7799E"/>
    <w:rsid w:val="00E80BB0"/>
    <w:rsid w:val="00E80C51"/>
    <w:rsid w:val="00E82BAE"/>
    <w:rsid w:val="00E837D9"/>
    <w:rsid w:val="00E859F3"/>
    <w:rsid w:val="00E85F30"/>
    <w:rsid w:val="00E86266"/>
    <w:rsid w:val="00E87415"/>
    <w:rsid w:val="00E91303"/>
    <w:rsid w:val="00E91384"/>
    <w:rsid w:val="00E91D2B"/>
    <w:rsid w:val="00E91E09"/>
    <w:rsid w:val="00E94639"/>
    <w:rsid w:val="00E96C0B"/>
    <w:rsid w:val="00E96F91"/>
    <w:rsid w:val="00E97460"/>
    <w:rsid w:val="00E9761B"/>
    <w:rsid w:val="00EA0528"/>
    <w:rsid w:val="00EA0FBF"/>
    <w:rsid w:val="00EA1B22"/>
    <w:rsid w:val="00EA1BE2"/>
    <w:rsid w:val="00EA1C1C"/>
    <w:rsid w:val="00EA3029"/>
    <w:rsid w:val="00EA3C26"/>
    <w:rsid w:val="00EA486D"/>
    <w:rsid w:val="00EA546A"/>
    <w:rsid w:val="00EA562F"/>
    <w:rsid w:val="00EA5DDF"/>
    <w:rsid w:val="00EB14B1"/>
    <w:rsid w:val="00EB16D0"/>
    <w:rsid w:val="00EB4CCB"/>
    <w:rsid w:val="00EB58B3"/>
    <w:rsid w:val="00EB6FA7"/>
    <w:rsid w:val="00EB7457"/>
    <w:rsid w:val="00EC08C8"/>
    <w:rsid w:val="00EC0999"/>
    <w:rsid w:val="00EC3418"/>
    <w:rsid w:val="00EC511C"/>
    <w:rsid w:val="00EC5786"/>
    <w:rsid w:val="00EC6482"/>
    <w:rsid w:val="00EC6E9F"/>
    <w:rsid w:val="00ED11AE"/>
    <w:rsid w:val="00ED3A47"/>
    <w:rsid w:val="00ED4F90"/>
    <w:rsid w:val="00ED52C4"/>
    <w:rsid w:val="00ED5BF6"/>
    <w:rsid w:val="00ED5D52"/>
    <w:rsid w:val="00ED61F3"/>
    <w:rsid w:val="00ED62B2"/>
    <w:rsid w:val="00ED66D8"/>
    <w:rsid w:val="00ED6E9F"/>
    <w:rsid w:val="00ED7DC7"/>
    <w:rsid w:val="00EE2F0A"/>
    <w:rsid w:val="00EE3654"/>
    <w:rsid w:val="00EE474F"/>
    <w:rsid w:val="00EE55E5"/>
    <w:rsid w:val="00EE5E01"/>
    <w:rsid w:val="00EE6AFC"/>
    <w:rsid w:val="00EE6B61"/>
    <w:rsid w:val="00EF14F2"/>
    <w:rsid w:val="00EF232E"/>
    <w:rsid w:val="00EF267F"/>
    <w:rsid w:val="00EF26E9"/>
    <w:rsid w:val="00EF3088"/>
    <w:rsid w:val="00EF4D38"/>
    <w:rsid w:val="00EF6F3F"/>
    <w:rsid w:val="00EF7470"/>
    <w:rsid w:val="00F000B6"/>
    <w:rsid w:val="00F05AE7"/>
    <w:rsid w:val="00F0646F"/>
    <w:rsid w:val="00F0707B"/>
    <w:rsid w:val="00F07479"/>
    <w:rsid w:val="00F076DD"/>
    <w:rsid w:val="00F07ACA"/>
    <w:rsid w:val="00F07F8C"/>
    <w:rsid w:val="00F16E3C"/>
    <w:rsid w:val="00F17227"/>
    <w:rsid w:val="00F17A85"/>
    <w:rsid w:val="00F17D55"/>
    <w:rsid w:val="00F250F5"/>
    <w:rsid w:val="00F26617"/>
    <w:rsid w:val="00F27236"/>
    <w:rsid w:val="00F312B0"/>
    <w:rsid w:val="00F328BC"/>
    <w:rsid w:val="00F342F9"/>
    <w:rsid w:val="00F34A77"/>
    <w:rsid w:val="00F3558F"/>
    <w:rsid w:val="00F35CC1"/>
    <w:rsid w:val="00F37367"/>
    <w:rsid w:val="00F414B3"/>
    <w:rsid w:val="00F41506"/>
    <w:rsid w:val="00F4228F"/>
    <w:rsid w:val="00F437ED"/>
    <w:rsid w:val="00F44E22"/>
    <w:rsid w:val="00F45019"/>
    <w:rsid w:val="00F4564E"/>
    <w:rsid w:val="00F46122"/>
    <w:rsid w:val="00F462C3"/>
    <w:rsid w:val="00F46B53"/>
    <w:rsid w:val="00F50651"/>
    <w:rsid w:val="00F50A04"/>
    <w:rsid w:val="00F525C7"/>
    <w:rsid w:val="00F52898"/>
    <w:rsid w:val="00F52EE5"/>
    <w:rsid w:val="00F53951"/>
    <w:rsid w:val="00F55286"/>
    <w:rsid w:val="00F556C7"/>
    <w:rsid w:val="00F56C92"/>
    <w:rsid w:val="00F5719C"/>
    <w:rsid w:val="00F57C9F"/>
    <w:rsid w:val="00F60B96"/>
    <w:rsid w:val="00F610B5"/>
    <w:rsid w:val="00F62DFF"/>
    <w:rsid w:val="00F63EF9"/>
    <w:rsid w:val="00F6481E"/>
    <w:rsid w:val="00F65C74"/>
    <w:rsid w:val="00F67D97"/>
    <w:rsid w:val="00F7067F"/>
    <w:rsid w:val="00F710E1"/>
    <w:rsid w:val="00F724E8"/>
    <w:rsid w:val="00F72E4D"/>
    <w:rsid w:val="00F72F4A"/>
    <w:rsid w:val="00F73E7F"/>
    <w:rsid w:val="00F745D4"/>
    <w:rsid w:val="00F76C06"/>
    <w:rsid w:val="00F774AB"/>
    <w:rsid w:val="00F77DDF"/>
    <w:rsid w:val="00F854ED"/>
    <w:rsid w:val="00F860E8"/>
    <w:rsid w:val="00F91320"/>
    <w:rsid w:val="00F9252C"/>
    <w:rsid w:val="00F97300"/>
    <w:rsid w:val="00FA1EB5"/>
    <w:rsid w:val="00FA4143"/>
    <w:rsid w:val="00FA4367"/>
    <w:rsid w:val="00FA4C6D"/>
    <w:rsid w:val="00FA5259"/>
    <w:rsid w:val="00FA5524"/>
    <w:rsid w:val="00FA64B3"/>
    <w:rsid w:val="00FA6910"/>
    <w:rsid w:val="00FA6E5D"/>
    <w:rsid w:val="00FA70A1"/>
    <w:rsid w:val="00FB444B"/>
    <w:rsid w:val="00FB4A12"/>
    <w:rsid w:val="00FB5BB9"/>
    <w:rsid w:val="00FB725B"/>
    <w:rsid w:val="00FB7CD9"/>
    <w:rsid w:val="00FC0A24"/>
    <w:rsid w:val="00FC0A51"/>
    <w:rsid w:val="00FC14A4"/>
    <w:rsid w:val="00FC220F"/>
    <w:rsid w:val="00FC28FF"/>
    <w:rsid w:val="00FC2CBF"/>
    <w:rsid w:val="00FC31A8"/>
    <w:rsid w:val="00FC3465"/>
    <w:rsid w:val="00FC4598"/>
    <w:rsid w:val="00FC4ECF"/>
    <w:rsid w:val="00FC5103"/>
    <w:rsid w:val="00FC597B"/>
    <w:rsid w:val="00FC68ED"/>
    <w:rsid w:val="00FC6C33"/>
    <w:rsid w:val="00FC7449"/>
    <w:rsid w:val="00FC7D1E"/>
    <w:rsid w:val="00FD0E1B"/>
    <w:rsid w:val="00FD10C2"/>
    <w:rsid w:val="00FD1A54"/>
    <w:rsid w:val="00FD22D8"/>
    <w:rsid w:val="00FD2C0A"/>
    <w:rsid w:val="00FD47A1"/>
    <w:rsid w:val="00FD4C80"/>
    <w:rsid w:val="00FD4E72"/>
    <w:rsid w:val="00FD71B9"/>
    <w:rsid w:val="00FD7267"/>
    <w:rsid w:val="00FD7565"/>
    <w:rsid w:val="00FE1F8E"/>
    <w:rsid w:val="00FE2E26"/>
    <w:rsid w:val="00FE4AC8"/>
    <w:rsid w:val="00FE727B"/>
    <w:rsid w:val="00FF05DB"/>
    <w:rsid w:val="00FF2319"/>
    <w:rsid w:val="00FF3AB8"/>
    <w:rsid w:val="00FF5FA2"/>
    <w:rsid w:val="0134E470"/>
    <w:rsid w:val="01EF29CF"/>
    <w:rsid w:val="02151213"/>
    <w:rsid w:val="0215B423"/>
    <w:rsid w:val="02E2093A"/>
    <w:rsid w:val="03041A41"/>
    <w:rsid w:val="03122A83"/>
    <w:rsid w:val="0334D669"/>
    <w:rsid w:val="03D1C48B"/>
    <w:rsid w:val="04ADFAE4"/>
    <w:rsid w:val="04B35B20"/>
    <w:rsid w:val="0503308B"/>
    <w:rsid w:val="050CA97C"/>
    <w:rsid w:val="0571CE64"/>
    <w:rsid w:val="060A8EA1"/>
    <w:rsid w:val="06232A1E"/>
    <w:rsid w:val="06B395C2"/>
    <w:rsid w:val="06CC587D"/>
    <w:rsid w:val="070DF8D4"/>
    <w:rsid w:val="07FD0102"/>
    <w:rsid w:val="080B3882"/>
    <w:rsid w:val="084542F6"/>
    <w:rsid w:val="0876B028"/>
    <w:rsid w:val="08BD2F1B"/>
    <w:rsid w:val="090D4C87"/>
    <w:rsid w:val="09693531"/>
    <w:rsid w:val="09BE3C69"/>
    <w:rsid w:val="09C0994E"/>
    <w:rsid w:val="0ADA0F48"/>
    <w:rsid w:val="0C7156BA"/>
    <w:rsid w:val="0CA0D5F3"/>
    <w:rsid w:val="0CDDEE56"/>
    <w:rsid w:val="0CFCD4C8"/>
    <w:rsid w:val="0D4FA346"/>
    <w:rsid w:val="0D9F56F2"/>
    <w:rsid w:val="0E261CA7"/>
    <w:rsid w:val="0E85C9C2"/>
    <w:rsid w:val="0E86FD7F"/>
    <w:rsid w:val="0EA357A2"/>
    <w:rsid w:val="0F5D6A30"/>
    <w:rsid w:val="0FA3032F"/>
    <w:rsid w:val="109A2021"/>
    <w:rsid w:val="11B25B98"/>
    <w:rsid w:val="127FA236"/>
    <w:rsid w:val="13D6C1DE"/>
    <w:rsid w:val="145650F1"/>
    <w:rsid w:val="145BD5FF"/>
    <w:rsid w:val="1514C0CE"/>
    <w:rsid w:val="164C81F8"/>
    <w:rsid w:val="16924CCD"/>
    <w:rsid w:val="16B0912F"/>
    <w:rsid w:val="17860FC0"/>
    <w:rsid w:val="181ECFFD"/>
    <w:rsid w:val="18448304"/>
    <w:rsid w:val="1851528D"/>
    <w:rsid w:val="18F79993"/>
    <w:rsid w:val="1922DC40"/>
    <w:rsid w:val="1A365355"/>
    <w:rsid w:val="1AC7600E"/>
    <w:rsid w:val="1B9973D3"/>
    <w:rsid w:val="1C144C8B"/>
    <w:rsid w:val="1C61A03F"/>
    <w:rsid w:val="1DF08054"/>
    <w:rsid w:val="1E06BEEC"/>
    <w:rsid w:val="1E0DDEC2"/>
    <w:rsid w:val="1EAD38C3"/>
    <w:rsid w:val="1EC6ED05"/>
    <w:rsid w:val="1EC8F0D6"/>
    <w:rsid w:val="1F9AD131"/>
    <w:rsid w:val="1FE12C4D"/>
    <w:rsid w:val="20017C4A"/>
    <w:rsid w:val="201225DE"/>
    <w:rsid w:val="20A0C3E9"/>
    <w:rsid w:val="20A55558"/>
    <w:rsid w:val="21320E0B"/>
    <w:rsid w:val="22214C71"/>
    <w:rsid w:val="22CDDE6C"/>
    <w:rsid w:val="2490BB69"/>
    <w:rsid w:val="24935F32"/>
    <w:rsid w:val="24AD158C"/>
    <w:rsid w:val="250834E8"/>
    <w:rsid w:val="25887A6B"/>
    <w:rsid w:val="2599AAAA"/>
    <w:rsid w:val="2670175B"/>
    <w:rsid w:val="27B55054"/>
    <w:rsid w:val="2819C894"/>
    <w:rsid w:val="293D1FF0"/>
    <w:rsid w:val="294AFEB8"/>
    <w:rsid w:val="29754025"/>
    <w:rsid w:val="2A37720F"/>
    <w:rsid w:val="2A600EDB"/>
    <w:rsid w:val="2BB79D21"/>
    <w:rsid w:val="2C3A87CF"/>
    <w:rsid w:val="2D29846A"/>
    <w:rsid w:val="2D7EECE2"/>
    <w:rsid w:val="2DAFB3A2"/>
    <w:rsid w:val="2DB1A148"/>
    <w:rsid w:val="2E288DE7"/>
    <w:rsid w:val="2F698239"/>
    <w:rsid w:val="302817D2"/>
    <w:rsid w:val="31754DD2"/>
    <w:rsid w:val="32B50545"/>
    <w:rsid w:val="32C28176"/>
    <w:rsid w:val="33CD40BC"/>
    <w:rsid w:val="3487C01D"/>
    <w:rsid w:val="359712EA"/>
    <w:rsid w:val="35B493D1"/>
    <w:rsid w:val="35D2EE5E"/>
    <w:rsid w:val="36E9F3B4"/>
    <w:rsid w:val="379437C4"/>
    <w:rsid w:val="38976F26"/>
    <w:rsid w:val="38C3CA98"/>
    <w:rsid w:val="38DC6615"/>
    <w:rsid w:val="39381BEE"/>
    <w:rsid w:val="39CF9190"/>
    <w:rsid w:val="3A6A840D"/>
    <w:rsid w:val="3A6D323E"/>
    <w:rsid w:val="3AC0F87B"/>
    <w:rsid w:val="3ADDD944"/>
    <w:rsid w:val="3AF701A1"/>
    <w:rsid w:val="3B317423"/>
    <w:rsid w:val="3BAE9278"/>
    <w:rsid w:val="3BED2C11"/>
    <w:rsid w:val="3C49AF9A"/>
    <w:rsid w:val="3C79A9A5"/>
    <w:rsid w:val="3C7E3D2C"/>
    <w:rsid w:val="3CB44B91"/>
    <w:rsid w:val="3CCC29A7"/>
    <w:rsid w:val="3D0BC4DE"/>
    <w:rsid w:val="3DBF0E3E"/>
    <w:rsid w:val="3EABB148"/>
    <w:rsid w:val="3F52008D"/>
    <w:rsid w:val="3F5AB761"/>
    <w:rsid w:val="3F666292"/>
    <w:rsid w:val="3F6A2CCB"/>
    <w:rsid w:val="3FE905F5"/>
    <w:rsid w:val="40412FF9"/>
    <w:rsid w:val="40D9C591"/>
    <w:rsid w:val="4116060B"/>
    <w:rsid w:val="41403976"/>
    <w:rsid w:val="41664325"/>
    <w:rsid w:val="4244EFF5"/>
    <w:rsid w:val="42EF6FBD"/>
    <w:rsid w:val="43F2D9F0"/>
    <w:rsid w:val="43F83DF6"/>
    <w:rsid w:val="444AE74E"/>
    <w:rsid w:val="450D1938"/>
    <w:rsid w:val="460E7F9A"/>
    <w:rsid w:val="4624BE32"/>
    <w:rsid w:val="4649CF29"/>
    <w:rsid w:val="4680740B"/>
    <w:rsid w:val="4711E9CD"/>
    <w:rsid w:val="472D773B"/>
    <w:rsid w:val="47ACEFA7"/>
    <w:rsid w:val="48B93E21"/>
    <w:rsid w:val="491F8761"/>
    <w:rsid w:val="496F15A5"/>
    <w:rsid w:val="4979A63C"/>
    <w:rsid w:val="4A931505"/>
    <w:rsid w:val="4AB7042E"/>
    <w:rsid w:val="4B417EA7"/>
    <w:rsid w:val="4B6BDE9B"/>
    <w:rsid w:val="4B865DDC"/>
    <w:rsid w:val="4BAB507C"/>
    <w:rsid w:val="4CFC0E63"/>
    <w:rsid w:val="4D1AB76C"/>
    <w:rsid w:val="4D588B1E"/>
    <w:rsid w:val="4D7E418C"/>
    <w:rsid w:val="4D898816"/>
    <w:rsid w:val="4E8C28FB"/>
    <w:rsid w:val="4EA2E7E5"/>
    <w:rsid w:val="4ECD8882"/>
    <w:rsid w:val="4ECFE567"/>
    <w:rsid w:val="4ED5E547"/>
    <w:rsid w:val="4FDE797E"/>
    <w:rsid w:val="4FEE20BE"/>
    <w:rsid w:val="503317AD"/>
    <w:rsid w:val="516674BA"/>
    <w:rsid w:val="517AA3EE"/>
    <w:rsid w:val="51EE288F"/>
    <w:rsid w:val="531ADE80"/>
    <w:rsid w:val="533D2375"/>
    <w:rsid w:val="53547AD2"/>
    <w:rsid w:val="53551CE2"/>
    <w:rsid w:val="53E8AEB9"/>
    <w:rsid w:val="5575A58A"/>
    <w:rsid w:val="558302FD"/>
    <w:rsid w:val="55847F1A"/>
    <w:rsid w:val="5601963E"/>
    <w:rsid w:val="5657A0C6"/>
    <w:rsid w:val="570A857F"/>
    <w:rsid w:val="58090CB4"/>
    <w:rsid w:val="58B17C5D"/>
    <w:rsid w:val="58B436B8"/>
    <w:rsid w:val="58BA0C47"/>
    <w:rsid w:val="58F1A5C3"/>
    <w:rsid w:val="5923CE44"/>
    <w:rsid w:val="5978FF89"/>
    <w:rsid w:val="5997B78C"/>
    <w:rsid w:val="59B6DECE"/>
    <w:rsid w:val="5A54A538"/>
    <w:rsid w:val="5AFB1F0F"/>
    <w:rsid w:val="5B3387ED"/>
    <w:rsid w:val="5B580F6B"/>
    <w:rsid w:val="5CB90077"/>
    <w:rsid w:val="5D31E64F"/>
    <w:rsid w:val="5D3F91EA"/>
    <w:rsid w:val="5DC35C11"/>
    <w:rsid w:val="5EC2FC0B"/>
    <w:rsid w:val="5EF57E9B"/>
    <w:rsid w:val="5EFC6BA0"/>
    <w:rsid w:val="5F9BC5A1"/>
    <w:rsid w:val="5FCBEB4C"/>
    <w:rsid w:val="6013B9F2"/>
    <w:rsid w:val="6023F8AA"/>
    <w:rsid w:val="604CC4E0"/>
    <w:rsid w:val="610C2235"/>
    <w:rsid w:val="62F1C457"/>
    <w:rsid w:val="63934600"/>
    <w:rsid w:val="63A80A40"/>
    <w:rsid w:val="63E6DD78"/>
    <w:rsid w:val="642BD467"/>
    <w:rsid w:val="64AAEAFA"/>
    <w:rsid w:val="64EC46BB"/>
    <w:rsid w:val="65014097"/>
    <w:rsid w:val="6536C67E"/>
    <w:rsid w:val="656B1913"/>
    <w:rsid w:val="656D1CE4"/>
    <w:rsid w:val="65AE552D"/>
    <w:rsid w:val="65F34C1C"/>
    <w:rsid w:val="664185C4"/>
    <w:rsid w:val="672F5B9B"/>
    <w:rsid w:val="6744EFF7"/>
    <w:rsid w:val="67AA14DF"/>
    <w:rsid w:val="67C20E4C"/>
    <w:rsid w:val="681FC48F"/>
    <w:rsid w:val="688A6FD4"/>
    <w:rsid w:val="68C14E02"/>
    <w:rsid w:val="6A5F1FA9"/>
    <w:rsid w:val="6A8C81D2"/>
    <w:rsid w:val="6B32E13A"/>
    <w:rsid w:val="6B34E777"/>
    <w:rsid w:val="6B38B1B0"/>
    <w:rsid w:val="6B3C7056"/>
    <w:rsid w:val="6C02CCBE"/>
    <w:rsid w:val="6C11D1EE"/>
    <w:rsid w:val="6C3DD6B8"/>
    <w:rsid w:val="6D144369"/>
    <w:rsid w:val="6D1D423E"/>
    <w:rsid w:val="6D4C6ACF"/>
    <w:rsid w:val="6D56122F"/>
    <w:rsid w:val="6DE52B0C"/>
    <w:rsid w:val="6E0B4B3A"/>
    <w:rsid w:val="6E75ABE0"/>
    <w:rsid w:val="6F2FE913"/>
    <w:rsid w:val="6F99C559"/>
    <w:rsid w:val="6FC500D5"/>
    <w:rsid w:val="703E7D2A"/>
    <w:rsid w:val="7097CB86"/>
    <w:rsid w:val="723C051C"/>
    <w:rsid w:val="72E5964A"/>
    <w:rsid w:val="72F6AD4A"/>
    <w:rsid w:val="732B6581"/>
    <w:rsid w:val="734036C5"/>
    <w:rsid w:val="7365D135"/>
    <w:rsid w:val="73CDB078"/>
    <w:rsid w:val="74E55572"/>
    <w:rsid w:val="75A9AF04"/>
    <w:rsid w:val="75D02428"/>
    <w:rsid w:val="76479DA7"/>
    <w:rsid w:val="76FCC9D0"/>
    <w:rsid w:val="76FD23DF"/>
    <w:rsid w:val="777F5A6F"/>
    <w:rsid w:val="77959907"/>
    <w:rsid w:val="780365C9"/>
    <w:rsid w:val="78B5C204"/>
    <w:rsid w:val="78C23683"/>
    <w:rsid w:val="7953AC45"/>
    <w:rsid w:val="7966AD84"/>
    <w:rsid w:val="796C39C3"/>
    <w:rsid w:val="799D03EA"/>
    <w:rsid w:val="79D64FA8"/>
    <w:rsid w:val="7A3D1A35"/>
    <w:rsid w:val="7A716CCA"/>
    <w:rsid w:val="7A9C0D67"/>
    <w:rsid w:val="7AB4A8E4"/>
    <w:rsid w:val="7AE46586"/>
    <w:rsid w:val="7B74D6FD"/>
    <w:rsid w:val="7B7FE84A"/>
    <w:rsid w:val="7BD03AF3"/>
    <w:rsid w:val="7C45BC88"/>
    <w:rsid w:val="7C75E44B"/>
    <w:rsid w:val="7D4CC03B"/>
    <w:rsid w:val="7D4EADE1"/>
    <w:rsid w:val="7D518CB5"/>
    <w:rsid w:val="7E7D7E98"/>
    <w:rsid w:val="7EC40C85"/>
    <w:rsid w:val="7F9596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E4A69"/>
  <w15:docId w15:val="{CFEE1207-8FD4-42F9-A9BD-5F1D476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6D7800"/>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4964EF"/>
    <w:pPr>
      <w:keepNext/>
      <w:keepLines/>
      <w:spacing w:before="240"/>
      <w:outlineLvl w:val="0"/>
    </w:pPr>
    <w:rPr>
      <w:rFonts w:ascii="Poppins" w:eastAsiaTheme="majorEastAsia" w:hAnsi="Poppins" w:cs="Poppins"/>
      <w:b/>
      <w:color w:val="E20176"/>
      <w:sz w:val="36"/>
      <w:szCs w:val="36"/>
    </w:rPr>
  </w:style>
  <w:style w:type="paragraph" w:styleId="Heading2">
    <w:name w:val="heading 2"/>
    <w:basedOn w:val="Normal"/>
    <w:next w:val="Normal"/>
    <w:link w:val="Heading2Char"/>
    <w:autoRedefine/>
    <w:uiPriority w:val="9"/>
    <w:unhideWhenUsed/>
    <w:qFormat/>
    <w:rsid w:val="00CA3630"/>
    <w:pPr>
      <w:keepNext/>
      <w:keepLines/>
      <w:spacing w:before="40"/>
      <w:outlineLvl w:val="1"/>
    </w:pPr>
    <w:rPr>
      <w:rFonts w:ascii="Poppins" w:eastAsiaTheme="majorEastAsia" w:hAnsi="Poppins" w:cs="Poppins"/>
      <w:b/>
      <w:noProof/>
      <w:color w:val="5F5F5F" w:themeColor="text2"/>
      <w:sz w:val="32"/>
      <w:szCs w:val="32"/>
    </w:rPr>
  </w:style>
  <w:style w:type="paragraph" w:styleId="Heading3">
    <w:name w:val="heading 3"/>
    <w:basedOn w:val="Normal"/>
    <w:next w:val="Normal"/>
    <w:link w:val="Heading3Char"/>
    <w:autoRedefine/>
    <w:uiPriority w:val="9"/>
    <w:unhideWhenUsed/>
    <w:qFormat/>
    <w:rsid w:val="00B16EC1"/>
    <w:pPr>
      <w:keepNext/>
      <w:keepLines/>
      <w:outlineLvl w:val="2"/>
    </w:pPr>
    <w:rPr>
      <w:rFonts w:ascii="Poppins" w:eastAsia="Poppins Light" w:hAnsi="Poppins" w:cs="Poppins"/>
      <w:b/>
      <w:noProof/>
      <w:color w:val="000000" w:themeColor="text1"/>
      <w:sz w:val="26"/>
      <w:szCs w:val="26"/>
      <w:lang w:val="en-NZ"/>
    </w:rPr>
  </w:style>
  <w:style w:type="paragraph" w:styleId="Heading4">
    <w:name w:val="heading 4"/>
    <w:basedOn w:val="BodyText"/>
    <w:next w:val="Normal"/>
    <w:link w:val="Heading4Char"/>
    <w:uiPriority w:val="9"/>
    <w:unhideWhenUsed/>
    <w:qFormat/>
    <w:rsid w:val="00483E09"/>
    <w:pPr>
      <w:outlineLvl w:val="3"/>
    </w:pPr>
    <w:rPr>
      <w:b/>
      <w:bCs w:val="0"/>
      <w:color w:val="5F5F5F"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4EF"/>
    <w:rPr>
      <w:rFonts w:ascii="Poppins" w:eastAsiaTheme="majorEastAsia" w:hAnsi="Poppins" w:cs="Poppins"/>
      <w:b/>
      <w:color w:val="E20176"/>
      <w:sz w:val="36"/>
      <w:szCs w:val="36"/>
      <w:lang w:eastAsia="en-GB"/>
    </w:rPr>
  </w:style>
  <w:style w:type="character" w:customStyle="1" w:styleId="Heading2Char">
    <w:name w:val="Heading 2 Char"/>
    <w:basedOn w:val="DefaultParagraphFont"/>
    <w:link w:val="Heading2"/>
    <w:uiPriority w:val="9"/>
    <w:rsid w:val="00CA3630"/>
    <w:rPr>
      <w:rFonts w:ascii="Poppins" w:eastAsiaTheme="majorEastAsia" w:hAnsi="Poppins" w:cs="Poppins"/>
      <w:b/>
      <w:noProof/>
      <w:color w:val="5F5F5F" w:themeColor="text2"/>
      <w:sz w:val="32"/>
      <w:szCs w:val="32"/>
      <w:lang w:eastAsia="en-GB"/>
    </w:rPr>
  </w:style>
  <w:style w:type="character" w:customStyle="1" w:styleId="Heading3Char">
    <w:name w:val="Heading 3 Char"/>
    <w:basedOn w:val="DefaultParagraphFont"/>
    <w:link w:val="Heading3"/>
    <w:uiPriority w:val="9"/>
    <w:rsid w:val="00B16EC1"/>
    <w:rPr>
      <w:rFonts w:ascii="Poppins" w:eastAsia="Poppins Light" w:hAnsi="Poppins" w:cs="Poppins"/>
      <w:b/>
      <w:noProof/>
      <w:color w:val="000000" w:themeColor="text1"/>
      <w:sz w:val="26"/>
      <w:szCs w:val="26"/>
      <w:lang w:val="en-NZ" w:eastAsia="en-GB"/>
    </w:rPr>
  </w:style>
  <w:style w:type="paragraph" w:styleId="ListParagraph">
    <w:name w:val="List Paragraph"/>
    <w:basedOn w:val="Normal"/>
    <w:link w:val="ListParagraphChar"/>
    <w:uiPriority w:val="34"/>
    <w:qFormat/>
    <w:rsid w:val="00285181"/>
    <w:pPr>
      <w:spacing w:before="120" w:after="120"/>
      <w:ind w:left="851" w:hanging="567"/>
    </w:pPr>
  </w:style>
  <w:style w:type="character" w:customStyle="1" w:styleId="ListParagraphChar">
    <w:name w:val="List Paragraph Char"/>
    <w:basedOn w:val="DefaultParagraphFont"/>
    <w:link w:val="ListParagraph"/>
    <w:uiPriority w:val="34"/>
    <w:rsid w:val="00285181"/>
    <w:rPr>
      <w:sz w:val="22"/>
      <w:szCs w:val="22"/>
      <w:lang w:val="en-NZ"/>
    </w:rPr>
  </w:style>
  <w:style w:type="paragraph" w:styleId="BodyText">
    <w:name w:val="Body Text"/>
    <w:aliases w:val="Body Text MFAT"/>
    <w:basedOn w:val="Heading3"/>
    <w:link w:val="BodyTextChar"/>
    <w:autoRedefine/>
    <w:qFormat/>
    <w:rsid w:val="00AF16D6"/>
    <w:pPr>
      <w:spacing w:before="120" w:after="120"/>
    </w:pPr>
    <w:rPr>
      <w:b w:val="0"/>
      <w:bCs/>
      <w:color w:val="000000"/>
      <w:sz w:val="22"/>
      <w:szCs w:val="22"/>
      <w:shd w:val="clear" w:color="auto" w:fill="FFFFFF"/>
    </w:rPr>
  </w:style>
  <w:style w:type="character" w:customStyle="1" w:styleId="BodyTextChar">
    <w:name w:val="Body Text Char"/>
    <w:aliases w:val="Body Text MFAT Char"/>
    <w:basedOn w:val="DefaultParagraphFont"/>
    <w:link w:val="BodyText"/>
    <w:rsid w:val="00AF16D6"/>
    <w:rPr>
      <w:rFonts w:ascii="Poppins" w:eastAsia="Poppins Light" w:hAnsi="Poppins" w:cs="Poppins"/>
      <w:bCs/>
      <w:noProof/>
      <w:color w:val="000000"/>
      <w:sz w:val="22"/>
      <w:szCs w:val="22"/>
      <w:lang w:val="en-NZ" w:eastAsia="en-GB"/>
    </w:rPr>
  </w:style>
  <w:style w:type="paragraph" w:styleId="Subtitle">
    <w:name w:val="Subtitle"/>
    <w:basedOn w:val="Normal"/>
    <w:next w:val="Normal"/>
    <w:link w:val="SubtitleChar"/>
    <w:uiPriority w:val="11"/>
    <w:qFormat/>
    <w:rsid w:val="00770A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0A47"/>
    <w:rPr>
      <w:rFonts w:eastAsiaTheme="minorEastAsia"/>
      <w:color w:val="5A5A5A" w:themeColor="text1" w:themeTint="A5"/>
      <w:spacing w:val="15"/>
      <w:sz w:val="22"/>
      <w:szCs w:val="22"/>
      <w:lang w:val="en-NZ"/>
    </w:rPr>
  </w:style>
  <w:style w:type="character" w:styleId="Hyperlink">
    <w:name w:val="Hyperlink"/>
    <w:uiPriority w:val="99"/>
    <w:unhideWhenUsed/>
    <w:rsid w:val="00685E5E"/>
    <w:rPr>
      <w:color w:val="2DAC9E" w:themeColor="accent2"/>
      <w:u w:val="single"/>
    </w:rPr>
  </w:style>
  <w:style w:type="paragraph" w:styleId="EndnoteText">
    <w:name w:val="endnote text"/>
    <w:basedOn w:val="Normal"/>
    <w:link w:val="EndnoteTextChar"/>
    <w:uiPriority w:val="99"/>
    <w:unhideWhenUsed/>
    <w:rsid w:val="00770A47"/>
    <w:rPr>
      <w:sz w:val="20"/>
      <w:szCs w:val="20"/>
    </w:rPr>
  </w:style>
  <w:style w:type="character" w:customStyle="1" w:styleId="EndnoteTextChar">
    <w:name w:val="Endnote Text Char"/>
    <w:basedOn w:val="DefaultParagraphFont"/>
    <w:link w:val="EndnoteText"/>
    <w:uiPriority w:val="99"/>
    <w:rsid w:val="00770A47"/>
    <w:rPr>
      <w:sz w:val="20"/>
      <w:szCs w:val="20"/>
      <w:lang w:val="en-NZ"/>
    </w:rPr>
  </w:style>
  <w:style w:type="character" w:styleId="EndnoteReference">
    <w:name w:val="endnote reference"/>
    <w:basedOn w:val="DefaultParagraphFont"/>
    <w:uiPriority w:val="99"/>
    <w:semiHidden/>
    <w:unhideWhenUsed/>
    <w:rsid w:val="00770A47"/>
    <w:rPr>
      <w:vertAlign w:val="superscript"/>
    </w:rPr>
  </w:style>
  <w:style w:type="paragraph" w:styleId="TOCHeading">
    <w:name w:val="TOC Heading"/>
    <w:basedOn w:val="Heading1"/>
    <w:next w:val="Normal"/>
    <w:uiPriority w:val="39"/>
    <w:unhideWhenUsed/>
    <w:qFormat/>
    <w:rsid w:val="00AF16D6"/>
    <w:pPr>
      <w:spacing w:before="480" w:line="276" w:lineRule="auto"/>
      <w:outlineLvl w:val="9"/>
    </w:pPr>
    <w:rPr>
      <w:bCs/>
      <w:color w:val="5F5F5F" w:themeColor="text2"/>
      <w:sz w:val="28"/>
      <w:szCs w:val="28"/>
      <w:lang w:val="en-US"/>
    </w:rPr>
  </w:style>
  <w:style w:type="paragraph" w:styleId="TOC1">
    <w:name w:val="toc 1"/>
    <w:basedOn w:val="Normal"/>
    <w:next w:val="Normal"/>
    <w:autoRedefine/>
    <w:uiPriority w:val="39"/>
    <w:unhideWhenUsed/>
    <w:rsid w:val="00AF16D6"/>
    <w:pPr>
      <w:spacing w:before="120"/>
    </w:pPr>
    <w:rPr>
      <w:rFonts w:ascii="Poppins" w:hAnsi="Poppins" w:cstheme="minorHAnsi"/>
      <w:bCs/>
      <w:iCs/>
      <w:sz w:val="22"/>
    </w:rPr>
  </w:style>
  <w:style w:type="paragraph" w:styleId="TOC3">
    <w:name w:val="toc 3"/>
    <w:basedOn w:val="Normal"/>
    <w:next w:val="Normal"/>
    <w:autoRedefine/>
    <w:uiPriority w:val="39"/>
    <w:unhideWhenUsed/>
    <w:rsid w:val="00770A47"/>
    <w:pPr>
      <w:ind w:left="480"/>
    </w:pPr>
    <w:rPr>
      <w:rFonts w:asciiTheme="minorHAnsi" w:hAnsiTheme="minorHAnsi" w:cstheme="minorHAnsi"/>
      <w:sz w:val="20"/>
      <w:szCs w:val="20"/>
    </w:rPr>
  </w:style>
  <w:style w:type="paragraph" w:styleId="TOC2">
    <w:name w:val="toc 2"/>
    <w:basedOn w:val="Normal"/>
    <w:next w:val="Normal"/>
    <w:autoRedefine/>
    <w:uiPriority w:val="39"/>
    <w:unhideWhenUsed/>
    <w:rsid w:val="00AF16D6"/>
    <w:pPr>
      <w:spacing w:before="120"/>
      <w:ind w:left="240"/>
    </w:pPr>
    <w:rPr>
      <w:rFonts w:ascii="Poppins" w:hAnsi="Poppins" w:cstheme="minorHAnsi"/>
      <w:bCs/>
      <w:sz w:val="22"/>
      <w:szCs w:val="22"/>
    </w:rPr>
  </w:style>
  <w:style w:type="paragraph" w:styleId="TOC4">
    <w:name w:val="toc 4"/>
    <w:basedOn w:val="Normal"/>
    <w:next w:val="Normal"/>
    <w:autoRedefine/>
    <w:uiPriority w:val="39"/>
    <w:unhideWhenUsed/>
    <w:rsid w:val="00770A47"/>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70A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70A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70A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70A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70A47"/>
    <w:pPr>
      <w:ind w:left="192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770A47"/>
    <w:rPr>
      <w:sz w:val="16"/>
      <w:szCs w:val="16"/>
    </w:rPr>
  </w:style>
  <w:style w:type="paragraph" w:styleId="CommentText">
    <w:name w:val="annotation text"/>
    <w:basedOn w:val="Normal"/>
    <w:link w:val="CommentTextChar"/>
    <w:uiPriority w:val="99"/>
    <w:unhideWhenUsed/>
    <w:rsid w:val="00770A47"/>
    <w:rPr>
      <w:sz w:val="20"/>
      <w:szCs w:val="20"/>
    </w:rPr>
  </w:style>
  <w:style w:type="character" w:customStyle="1" w:styleId="CommentTextChar">
    <w:name w:val="Comment Text Char"/>
    <w:basedOn w:val="DefaultParagraphFont"/>
    <w:link w:val="CommentText"/>
    <w:uiPriority w:val="99"/>
    <w:rsid w:val="00770A47"/>
    <w:rPr>
      <w:sz w:val="20"/>
      <w:szCs w:val="20"/>
      <w:lang w:val="en-NZ"/>
    </w:rPr>
  </w:style>
  <w:style w:type="paragraph" w:styleId="CommentSubject">
    <w:name w:val="annotation subject"/>
    <w:basedOn w:val="CommentText"/>
    <w:next w:val="CommentText"/>
    <w:link w:val="CommentSubjectChar"/>
    <w:uiPriority w:val="99"/>
    <w:semiHidden/>
    <w:unhideWhenUsed/>
    <w:rsid w:val="00770A47"/>
    <w:rPr>
      <w:b/>
      <w:bCs/>
    </w:rPr>
  </w:style>
  <w:style w:type="character" w:customStyle="1" w:styleId="CommentSubjectChar">
    <w:name w:val="Comment Subject Char"/>
    <w:basedOn w:val="CommentTextChar"/>
    <w:link w:val="CommentSubject"/>
    <w:uiPriority w:val="99"/>
    <w:semiHidden/>
    <w:rsid w:val="00770A47"/>
    <w:rPr>
      <w:b/>
      <w:bCs/>
      <w:sz w:val="20"/>
      <w:szCs w:val="20"/>
      <w:lang w:val="en-NZ"/>
    </w:rPr>
  </w:style>
  <w:style w:type="character" w:customStyle="1" w:styleId="normaltextrun">
    <w:name w:val="normaltextrun"/>
    <w:basedOn w:val="DefaultParagraphFont"/>
    <w:rsid w:val="00515AFE"/>
  </w:style>
  <w:style w:type="paragraph" w:styleId="NoSpacing">
    <w:name w:val="No Spacing"/>
    <w:link w:val="NoSpacingChar"/>
    <w:uiPriority w:val="1"/>
    <w:qFormat/>
    <w:rsid w:val="00FF5FA2"/>
    <w:rPr>
      <w:sz w:val="22"/>
      <w:szCs w:val="22"/>
      <w:lang w:val="en-NZ"/>
    </w:rPr>
  </w:style>
  <w:style w:type="table" w:styleId="TableGrid">
    <w:name w:val="Table Grid"/>
    <w:basedOn w:val="TableNormal"/>
    <w:uiPriority w:val="59"/>
    <w:rsid w:val="0014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1E8C"/>
    <w:pPr>
      <w:tabs>
        <w:tab w:val="center" w:pos="4513"/>
        <w:tab w:val="right" w:pos="9026"/>
      </w:tabs>
    </w:pPr>
  </w:style>
  <w:style w:type="character" w:customStyle="1" w:styleId="HeaderChar">
    <w:name w:val="Header Char"/>
    <w:basedOn w:val="DefaultParagraphFont"/>
    <w:link w:val="Header"/>
    <w:uiPriority w:val="99"/>
    <w:rsid w:val="00B01E8C"/>
    <w:rPr>
      <w:sz w:val="22"/>
      <w:szCs w:val="22"/>
      <w:lang w:val="en-NZ"/>
    </w:rPr>
  </w:style>
  <w:style w:type="paragraph" w:styleId="Footer">
    <w:name w:val="footer"/>
    <w:basedOn w:val="Normal"/>
    <w:link w:val="FooterChar"/>
    <w:uiPriority w:val="99"/>
    <w:unhideWhenUsed/>
    <w:rsid w:val="00B01E8C"/>
    <w:pPr>
      <w:tabs>
        <w:tab w:val="center" w:pos="4513"/>
        <w:tab w:val="right" w:pos="9026"/>
      </w:tabs>
    </w:pPr>
  </w:style>
  <w:style w:type="character" w:customStyle="1" w:styleId="FooterChar">
    <w:name w:val="Footer Char"/>
    <w:basedOn w:val="DefaultParagraphFont"/>
    <w:link w:val="Footer"/>
    <w:uiPriority w:val="99"/>
    <w:rsid w:val="00B01E8C"/>
    <w:rPr>
      <w:sz w:val="22"/>
      <w:szCs w:val="22"/>
      <w:lang w:val="en-NZ"/>
    </w:rPr>
  </w:style>
  <w:style w:type="paragraph" w:styleId="NormalWeb">
    <w:name w:val="Normal (Web)"/>
    <w:basedOn w:val="Normal"/>
    <w:uiPriority w:val="99"/>
    <w:unhideWhenUsed/>
    <w:rsid w:val="00EA562F"/>
    <w:pPr>
      <w:spacing w:before="100" w:beforeAutospacing="1" w:after="100" w:afterAutospacing="1"/>
    </w:pPr>
  </w:style>
  <w:style w:type="character" w:styleId="UnresolvedMention">
    <w:name w:val="Unresolved Mention"/>
    <w:basedOn w:val="DefaultParagraphFont"/>
    <w:uiPriority w:val="99"/>
    <w:rsid w:val="0065474D"/>
    <w:rPr>
      <w:color w:val="605E5C"/>
      <w:shd w:val="clear" w:color="auto" w:fill="E1DFDD"/>
    </w:rPr>
  </w:style>
  <w:style w:type="character" w:styleId="PageNumber">
    <w:name w:val="page number"/>
    <w:basedOn w:val="DefaultParagraphFont"/>
    <w:uiPriority w:val="99"/>
    <w:semiHidden/>
    <w:unhideWhenUsed/>
    <w:rsid w:val="0065474D"/>
  </w:style>
  <w:style w:type="character" w:customStyle="1" w:styleId="apple-converted-space">
    <w:name w:val="apple-converted-space"/>
    <w:basedOn w:val="DefaultParagraphFont"/>
    <w:rsid w:val="00172531"/>
  </w:style>
  <w:style w:type="character" w:customStyle="1" w:styleId="eop">
    <w:name w:val="eop"/>
    <w:basedOn w:val="DefaultParagraphFont"/>
    <w:rsid w:val="00172531"/>
  </w:style>
  <w:style w:type="paragraph" w:styleId="Caption">
    <w:name w:val="caption"/>
    <w:basedOn w:val="Normal"/>
    <w:next w:val="Normal"/>
    <w:uiPriority w:val="35"/>
    <w:unhideWhenUsed/>
    <w:qFormat/>
    <w:rsid w:val="00CB311E"/>
    <w:pPr>
      <w:spacing w:after="200"/>
    </w:pPr>
    <w:rPr>
      <w:i/>
      <w:iCs/>
      <w:color w:val="5F5F5F" w:themeColor="text2"/>
      <w:sz w:val="18"/>
      <w:szCs w:val="18"/>
    </w:rPr>
  </w:style>
  <w:style w:type="character" w:styleId="Emphasis">
    <w:name w:val="Emphasis"/>
    <w:basedOn w:val="DefaultParagraphFont"/>
    <w:uiPriority w:val="20"/>
    <w:qFormat/>
    <w:rsid w:val="003C5885"/>
    <w:rPr>
      <w:i/>
      <w:iCs/>
    </w:rPr>
  </w:style>
  <w:style w:type="character" w:styleId="FollowedHyperlink">
    <w:name w:val="FollowedHyperlink"/>
    <w:basedOn w:val="DefaultParagraphFont"/>
    <w:uiPriority w:val="99"/>
    <w:semiHidden/>
    <w:unhideWhenUsed/>
    <w:rsid w:val="008C7BC1"/>
    <w:rPr>
      <w:color w:val="E20076" w:themeColor="followedHyperlink"/>
      <w:u w:val="single"/>
    </w:rPr>
  </w:style>
  <w:style w:type="character" w:customStyle="1" w:styleId="NoSpacingChar">
    <w:name w:val="No Spacing Char"/>
    <w:basedOn w:val="DefaultParagraphFont"/>
    <w:link w:val="NoSpacing"/>
    <w:uiPriority w:val="1"/>
    <w:rsid w:val="00C8500A"/>
    <w:rPr>
      <w:sz w:val="22"/>
      <w:szCs w:val="22"/>
      <w:lang w:val="en-NZ"/>
    </w:rPr>
  </w:style>
  <w:style w:type="paragraph" w:styleId="Revision">
    <w:name w:val="Revision"/>
    <w:hidden/>
    <w:uiPriority w:val="99"/>
    <w:semiHidden/>
    <w:rsid w:val="00FD7267"/>
    <w:rPr>
      <w:rFonts w:ascii="Times New Roman" w:eastAsia="Times New Roman" w:hAnsi="Times New Roman" w:cs="Times New Roman"/>
      <w:lang w:eastAsia="en-GB"/>
    </w:rPr>
  </w:style>
  <w:style w:type="character" w:styleId="Mention">
    <w:name w:val="Mention"/>
    <w:basedOn w:val="DefaultParagraphFont"/>
    <w:uiPriority w:val="99"/>
    <w:unhideWhenUsed/>
    <w:rsid w:val="001267F7"/>
    <w:rPr>
      <w:color w:val="2B579A"/>
      <w:shd w:val="clear" w:color="auto" w:fill="E1DFDD"/>
    </w:rPr>
  </w:style>
  <w:style w:type="character" w:customStyle="1" w:styleId="Heading4Char">
    <w:name w:val="Heading 4 Char"/>
    <w:basedOn w:val="DefaultParagraphFont"/>
    <w:link w:val="Heading4"/>
    <w:uiPriority w:val="9"/>
    <w:rsid w:val="00483E09"/>
    <w:rPr>
      <w:rFonts w:ascii="Poppins Light" w:hAnsi="Poppins Light" w:cs="Poppins Light"/>
      <w:b/>
      <w:bCs/>
      <w:color w:val="5F5F5F" w:themeColor="text2"/>
      <w:sz w:val="20"/>
      <w:szCs w:val="22"/>
      <w:lang w:val="en-NZ"/>
    </w:rPr>
  </w:style>
  <w:style w:type="paragraph" w:customStyle="1" w:styleId="04xlpa">
    <w:name w:val="_04xlpa"/>
    <w:basedOn w:val="Normal"/>
    <w:rsid w:val="00C87024"/>
    <w:pPr>
      <w:spacing w:before="100" w:beforeAutospacing="1" w:after="100" w:afterAutospacing="1"/>
    </w:pPr>
  </w:style>
  <w:style w:type="character" w:customStyle="1" w:styleId="jsgrdq">
    <w:name w:val="jsgrdq"/>
    <w:basedOn w:val="DefaultParagraphFont"/>
    <w:rsid w:val="00C87024"/>
  </w:style>
  <w:style w:type="paragraph" w:customStyle="1" w:styleId="paragraph">
    <w:name w:val="paragraph"/>
    <w:basedOn w:val="Normal"/>
    <w:rsid w:val="006804CA"/>
    <w:pPr>
      <w:spacing w:before="100" w:beforeAutospacing="1" w:after="100" w:afterAutospacing="1"/>
    </w:pPr>
  </w:style>
  <w:style w:type="character" w:customStyle="1" w:styleId="scxw86717349">
    <w:name w:val="scxw86717349"/>
    <w:basedOn w:val="DefaultParagraphFont"/>
    <w:rsid w:val="00B1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307">
      <w:bodyDiv w:val="1"/>
      <w:marLeft w:val="0"/>
      <w:marRight w:val="0"/>
      <w:marTop w:val="0"/>
      <w:marBottom w:val="0"/>
      <w:divBdr>
        <w:top w:val="none" w:sz="0" w:space="0" w:color="auto"/>
        <w:left w:val="none" w:sz="0" w:space="0" w:color="auto"/>
        <w:bottom w:val="none" w:sz="0" w:space="0" w:color="auto"/>
        <w:right w:val="none" w:sz="0" w:space="0" w:color="auto"/>
      </w:divBdr>
      <w:divsChild>
        <w:div w:id="1461613042">
          <w:marLeft w:val="0"/>
          <w:marRight w:val="0"/>
          <w:marTop w:val="0"/>
          <w:marBottom w:val="0"/>
          <w:divBdr>
            <w:top w:val="none" w:sz="0" w:space="0" w:color="auto"/>
            <w:left w:val="none" w:sz="0" w:space="0" w:color="auto"/>
            <w:bottom w:val="none" w:sz="0" w:space="0" w:color="auto"/>
            <w:right w:val="none" w:sz="0" w:space="0" w:color="auto"/>
          </w:divBdr>
          <w:divsChild>
            <w:div w:id="1674456596">
              <w:marLeft w:val="0"/>
              <w:marRight w:val="0"/>
              <w:marTop w:val="0"/>
              <w:marBottom w:val="0"/>
              <w:divBdr>
                <w:top w:val="none" w:sz="0" w:space="0" w:color="auto"/>
                <w:left w:val="none" w:sz="0" w:space="0" w:color="auto"/>
                <w:bottom w:val="none" w:sz="0" w:space="0" w:color="auto"/>
                <w:right w:val="none" w:sz="0" w:space="0" w:color="auto"/>
              </w:divBdr>
              <w:divsChild>
                <w:div w:id="20166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527">
      <w:bodyDiv w:val="1"/>
      <w:marLeft w:val="0"/>
      <w:marRight w:val="0"/>
      <w:marTop w:val="0"/>
      <w:marBottom w:val="0"/>
      <w:divBdr>
        <w:top w:val="none" w:sz="0" w:space="0" w:color="auto"/>
        <w:left w:val="none" w:sz="0" w:space="0" w:color="auto"/>
        <w:bottom w:val="none" w:sz="0" w:space="0" w:color="auto"/>
        <w:right w:val="none" w:sz="0" w:space="0" w:color="auto"/>
      </w:divBdr>
      <w:divsChild>
        <w:div w:id="1185368252">
          <w:marLeft w:val="0"/>
          <w:marRight w:val="0"/>
          <w:marTop w:val="0"/>
          <w:marBottom w:val="0"/>
          <w:divBdr>
            <w:top w:val="none" w:sz="0" w:space="0" w:color="auto"/>
            <w:left w:val="none" w:sz="0" w:space="0" w:color="auto"/>
            <w:bottom w:val="none" w:sz="0" w:space="0" w:color="auto"/>
            <w:right w:val="none" w:sz="0" w:space="0" w:color="auto"/>
          </w:divBdr>
          <w:divsChild>
            <w:div w:id="1557664524">
              <w:marLeft w:val="0"/>
              <w:marRight w:val="0"/>
              <w:marTop w:val="0"/>
              <w:marBottom w:val="0"/>
              <w:divBdr>
                <w:top w:val="none" w:sz="0" w:space="0" w:color="auto"/>
                <w:left w:val="none" w:sz="0" w:space="0" w:color="auto"/>
                <w:bottom w:val="none" w:sz="0" w:space="0" w:color="auto"/>
                <w:right w:val="none" w:sz="0" w:space="0" w:color="auto"/>
              </w:divBdr>
              <w:divsChild>
                <w:div w:id="7541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3950">
      <w:bodyDiv w:val="1"/>
      <w:marLeft w:val="0"/>
      <w:marRight w:val="0"/>
      <w:marTop w:val="0"/>
      <w:marBottom w:val="0"/>
      <w:divBdr>
        <w:top w:val="none" w:sz="0" w:space="0" w:color="auto"/>
        <w:left w:val="none" w:sz="0" w:space="0" w:color="auto"/>
        <w:bottom w:val="none" w:sz="0" w:space="0" w:color="auto"/>
        <w:right w:val="none" w:sz="0" w:space="0" w:color="auto"/>
      </w:divBdr>
    </w:div>
    <w:div w:id="188102437">
      <w:bodyDiv w:val="1"/>
      <w:marLeft w:val="0"/>
      <w:marRight w:val="0"/>
      <w:marTop w:val="0"/>
      <w:marBottom w:val="0"/>
      <w:divBdr>
        <w:top w:val="none" w:sz="0" w:space="0" w:color="auto"/>
        <w:left w:val="none" w:sz="0" w:space="0" w:color="auto"/>
        <w:bottom w:val="none" w:sz="0" w:space="0" w:color="auto"/>
        <w:right w:val="none" w:sz="0" w:space="0" w:color="auto"/>
      </w:divBdr>
    </w:div>
    <w:div w:id="192696799">
      <w:bodyDiv w:val="1"/>
      <w:marLeft w:val="0"/>
      <w:marRight w:val="0"/>
      <w:marTop w:val="0"/>
      <w:marBottom w:val="0"/>
      <w:divBdr>
        <w:top w:val="none" w:sz="0" w:space="0" w:color="auto"/>
        <w:left w:val="none" w:sz="0" w:space="0" w:color="auto"/>
        <w:bottom w:val="none" w:sz="0" w:space="0" w:color="auto"/>
        <w:right w:val="none" w:sz="0" w:space="0" w:color="auto"/>
      </w:divBdr>
    </w:div>
    <w:div w:id="193228937">
      <w:bodyDiv w:val="1"/>
      <w:marLeft w:val="0"/>
      <w:marRight w:val="0"/>
      <w:marTop w:val="0"/>
      <w:marBottom w:val="0"/>
      <w:divBdr>
        <w:top w:val="none" w:sz="0" w:space="0" w:color="auto"/>
        <w:left w:val="none" w:sz="0" w:space="0" w:color="auto"/>
        <w:bottom w:val="none" w:sz="0" w:space="0" w:color="auto"/>
        <w:right w:val="none" w:sz="0" w:space="0" w:color="auto"/>
      </w:divBdr>
    </w:div>
    <w:div w:id="226500503">
      <w:bodyDiv w:val="1"/>
      <w:marLeft w:val="0"/>
      <w:marRight w:val="0"/>
      <w:marTop w:val="0"/>
      <w:marBottom w:val="0"/>
      <w:divBdr>
        <w:top w:val="none" w:sz="0" w:space="0" w:color="auto"/>
        <w:left w:val="none" w:sz="0" w:space="0" w:color="auto"/>
        <w:bottom w:val="none" w:sz="0" w:space="0" w:color="auto"/>
        <w:right w:val="none" w:sz="0" w:space="0" w:color="auto"/>
      </w:divBdr>
      <w:divsChild>
        <w:div w:id="1024283411">
          <w:marLeft w:val="0"/>
          <w:marRight w:val="0"/>
          <w:marTop w:val="0"/>
          <w:marBottom w:val="0"/>
          <w:divBdr>
            <w:top w:val="none" w:sz="0" w:space="0" w:color="auto"/>
            <w:left w:val="none" w:sz="0" w:space="0" w:color="auto"/>
            <w:bottom w:val="none" w:sz="0" w:space="0" w:color="auto"/>
            <w:right w:val="none" w:sz="0" w:space="0" w:color="auto"/>
          </w:divBdr>
          <w:divsChild>
            <w:div w:id="1924487109">
              <w:marLeft w:val="0"/>
              <w:marRight w:val="0"/>
              <w:marTop w:val="0"/>
              <w:marBottom w:val="0"/>
              <w:divBdr>
                <w:top w:val="none" w:sz="0" w:space="0" w:color="auto"/>
                <w:left w:val="none" w:sz="0" w:space="0" w:color="auto"/>
                <w:bottom w:val="none" w:sz="0" w:space="0" w:color="auto"/>
                <w:right w:val="none" w:sz="0" w:space="0" w:color="auto"/>
              </w:divBdr>
              <w:divsChild>
                <w:div w:id="85661270">
                  <w:marLeft w:val="0"/>
                  <w:marRight w:val="0"/>
                  <w:marTop w:val="0"/>
                  <w:marBottom w:val="0"/>
                  <w:divBdr>
                    <w:top w:val="none" w:sz="0" w:space="0" w:color="auto"/>
                    <w:left w:val="none" w:sz="0" w:space="0" w:color="auto"/>
                    <w:bottom w:val="none" w:sz="0" w:space="0" w:color="auto"/>
                    <w:right w:val="none" w:sz="0" w:space="0" w:color="auto"/>
                  </w:divBdr>
                  <w:divsChild>
                    <w:div w:id="13089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59506">
      <w:bodyDiv w:val="1"/>
      <w:marLeft w:val="0"/>
      <w:marRight w:val="0"/>
      <w:marTop w:val="0"/>
      <w:marBottom w:val="0"/>
      <w:divBdr>
        <w:top w:val="none" w:sz="0" w:space="0" w:color="auto"/>
        <w:left w:val="none" w:sz="0" w:space="0" w:color="auto"/>
        <w:bottom w:val="none" w:sz="0" w:space="0" w:color="auto"/>
        <w:right w:val="none" w:sz="0" w:space="0" w:color="auto"/>
      </w:divBdr>
    </w:div>
    <w:div w:id="244849535">
      <w:bodyDiv w:val="1"/>
      <w:marLeft w:val="0"/>
      <w:marRight w:val="0"/>
      <w:marTop w:val="0"/>
      <w:marBottom w:val="0"/>
      <w:divBdr>
        <w:top w:val="none" w:sz="0" w:space="0" w:color="auto"/>
        <w:left w:val="none" w:sz="0" w:space="0" w:color="auto"/>
        <w:bottom w:val="none" w:sz="0" w:space="0" w:color="auto"/>
        <w:right w:val="none" w:sz="0" w:space="0" w:color="auto"/>
      </w:divBdr>
      <w:divsChild>
        <w:div w:id="58015212">
          <w:marLeft w:val="547"/>
          <w:marRight w:val="0"/>
          <w:marTop w:val="0"/>
          <w:marBottom w:val="0"/>
          <w:divBdr>
            <w:top w:val="none" w:sz="0" w:space="0" w:color="auto"/>
            <w:left w:val="none" w:sz="0" w:space="0" w:color="auto"/>
            <w:bottom w:val="none" w:sz="0" w:space="0" w:color="auto"/>
            <w:right w:val="none" w:sz="0" w:space="0" w:color="auto"/>
          </w:divBdr>
        </w:div>
      </w:divsChild>
    </w:div>
    <w:div w:id="255141325">
      <w:bodyDiv w:val="1"/>
      <w:marLeft w:val="0"/>
      <w:marRight w:val="0"/>
      <w:marTop w:val="0"/>
      <w:marBottom w:val="0"/>
      <w:divBdr>
        <w:top w:val="none" w:sz="0" w:space="0" w:color="auto"/>
        <w:left w:val="none" w:sz="0" w:space="0" w:color="auto"/>
        <w:bottom w:val="none" w:sz="0" w:space="0" w:color="auto"/>
        <w:right w:val="none" w:sz="0" w:space="0" w:color="auto"/>
      </w:divBdr>
    </w:div>
    <w:div w:id="276911541">
      <w:bodyDiv w:val="1"/>
      <w:marLeft w:val="0"/>
      <w:marRight w:val="0"/>
      <w:marTop w:val="0"/>
      <w:marBottom w:val="0"/>
      <w:divBdr>
        <w:top w:val="none" w:sz="0" w:space="0" w:color="auto"/>
        <w:left w:val="none" w:sz="0" w:space="0" w:color="auto"/>
        <w:bottom w:val="none" w:sz="0" w:space="0" w:color="auto"/>
        <w:right w:val="none" w:sz="0" w:space="0" w:color="auto"/>
      </w:divBdr>
    </w:div>
    <w:div w:id="278805568">
      <w:bodyDiv w:val="1"/>
      <w:marLeft w:val="0"/>
      <w:marRight w:val="0"/>
      <w:marTop w:val="0"/>
      <w:marBottom w:val="0"/>
      <w:divBdr>
        <w:top w:val="none" w:sz="0" w:space="0" w:color="auto"/>
        <w:left w:val="none" w:sz="0" w:space="0" w:color="auto"/>
        <w:bottom w:val="none" w:sz="0" w:space="0" w:color="auto"/>
        <w:right w:val="none" w:sz="0" w:space="0" w:color="auto"/>
      </w:divBdr>
    </w:div>
    <w:div w:id="294259594">
      <w:bodyDiv w:val="1"/>
      <w:marLeft w:val="0"/>
      <w:marRight w:val="0"/>
      <w:marTop w:val="0"/>
      <w:marBottom w:val="0"/>
      <w:divBdr>
        <w:top w:val="none" w:sz="0" w:space="0" w:color="auto"/>
        <w:left w:val="none" w:sz="0" w:space="0" w:color="auto"/>
        <w:bottom w:val="none" w:sz="0" w:space="0" w:color="auto"/>
        <w:right w:val="none" w:sz="0" w:space="0" w:color="auto"/>
      </w:divBdr>
    </w:div>
    <w:div w:id="321855544">
      <w:bodyDiv w:val="1"/>
      <w:marLeft w:val="0"/>
      <w:marRight w:val="0"/>
      <w:marTop w:val="0"/>
      <w:marBottom w:val="0"/>
      <w:divBdr>
        <w:top w:val="none" w:sz="0" w:space="0" w:color="auto"/>
        <w:left w:val="none" w:sz="0" w:space="0" w:color="auto"/>
        <w:bottom w:val="none" w:sz="0" w:space="0" w:color="auto"/>
        <w:right w:val="none" w:sz="0" w:space="0" w:color="auto"/>
      </w:divBdr>
    </w:div>
    <w:div w:id="329791596">
      <w:bodyDiv w:val="1"/>
      <w:marLeft w:val="0"/>
      <w:marRight w:val="0"/>
      <w:marTop w:val="0"/>
      <w:marBottom w:val="0"/>
      <w:divBdr>
        <w:top w:val="none" w:sz="0" w:space="0" w:color="auto"/>
        <w:left w:val="none" w:sz="0" w:space="0" w:color="auto"/>
        <w:bottom w:val="none" w:sz="0" w:space="0" w:color="auto"/>
        <w:right w:val="none" w:sz="0" w:space="0" w:color="auto"/>
      </w:divBdr>
    </w:div>
    <w:div w:id="340473096">
      <w:bodyDiv w:val="1"/>
      <w:marLeft w:val="0"/>
      <w:marRight w:val="0"/>
      <w:marTop w:val="0"/>
      <w:marBottom w:val="0"/>
      <w:divBdr>
        <w:top w:val="none" w:sz="0" w:space="0" w:color="auto"/>
        <w:left w:val="none" w:sz="0" w:space="0" w:color="auto"/>
        <w:bottom w:val="none" w:sz="0" w:space="0" w:color="auto"/>
        <w:right w:val="none" w:sz="0" w:space="0" w:color="auto"/>
      </w:divBdr>
    </w:div>
    <w:div w:id="361245475">
      <w:bodyDiv w:val="1"/>
      <w:marLeft w:val="0"/>
      <w:marRight w:val="0"/>
      <w:marTop w:val="0"/>
      <w:marBottom w:val="0"/>
      <w:divBdr>
        <w:top w:val="none" w:sz="0" w:space="0" w:color="auto"/>
        <w:left w:val="none" w:sz="0" w:space="0" w:color="auto"/>
        <w:bottom w:val="none" w:sz="0" w:space="0" w:color="auto"/>
        <w:right w:val="none" w:sz="0" w:space="0" w:color="auto"/>
      </w:divBdr>
    </w:div>
    <w:div w:id="365299081">
      <w:bodyDiv w:val="1"/>
      <w:marLeft w:val="0"/>
      <w:marRight w:val="0"/>
      <w:marTop w:val="0"/>
      <w:marBottom w:val="0"/>
      <w:divBdr>
        <w:top w:val="none" w:sz="0" w:space="0" w:color="auto"/>
        <w:left w:val="none" w:sz="0" w:space="0" w:color="auto"/>
        <w:bottom w:val="none" w:sz="0" w:space="0" w:color="auto"/>
        <w:right w:val="none" w:sz="0" w:space="0" w:color="auto"/>
      </w:divBdr>
    </w:div>
    <w:div w:id="379786933">
      <w:bodyDiv w:val="1"/>
      <w:marLeft w:val="0"/>
      <w:marRight w:val="0"/>
      <w:marTop w:val="0"/>
      <w:marBottom w:val="0"/>
      <w:divBdr>
        <w:top w:val="none" w:sz="0" w:space="0" w:color="auto"/>
        <w:left w:val="none" w:sz="0" w:space="0" w:color="auto"/>
        <w:bottom w:val="none" w:sz="0" w:space="0" w:color="auto"/>
        <w:right w:val="none" w:sz="0" w:space="0" w:color="auto"/>
      </w:divBdr>
    </w:div>
    <w:div w:id="415857285">
      <w:bodyDiv w:val="1"/>
      <w:marLeft w:val="0"/>
      <w:marRight w:val="0"/>
      <w:marTop w:val="0"/>
      <w:marBottom w:val="0"/>
      <w:divBdr>
        <w:top w:val="none" w:sz="0" w:space="0" w:color="auto"/>
        <w:left w:val="none" w:sz="0" w:space="0" w:color="auto"/>
        <w:bottom w:val="none" w:sz="0" w:space="0" w:color="auto"/>
        <w:right w:val="none" w:sz="0" w:space="0" w:color="auto"/>
      </w:divBdr>
      <w:divsChild>
        <w:div w:id="2094933100">
          <w:marLeft w:val="0"/>
          <w:marRight w:val="0"/>
          <w:marTop w:val="0"/>
          <w:marBottom w:val="0"/>
          <w:divBdr>
            <w:top w:val="none" w:sz="0" w:space="0" w:color="auto"/>
            <w:left w:val="none" w:sz="0" w:space="0" w:color="auto"/>
            <w:bottom w:val="none" w:sz="0" w:space="0" w:color="auto"/>
            <w:right w:val="none" w:sz="0" w:space="0" w:color="auto"/>
          </w:divBdr>
        </w:div>
        <w:div w:id="1395853927">
          <w:marLeft w:val="0"/>
          <w:marRight w:val="0"/>
          <w:marTop w:val="0"/>
          <w:marBottom w:val="0"/>
          <w:divBdr>
            <w:top w:val="none" w:sz="0" w:space="0" w:color="auto"/>
            <w:left w:val="none" w:sz="0" w:space="0" w:color="auto"/>
            <w:bottom w:val="none" w:sz="0" w:space="0" w:color="auto"/>
            <w:right w:val="none" w:sz="0" w:space="0" w:color="auto"/>
          </w:divBdr>
        </w:div>
        <w:div w:id="666132484">
          <w:marLeft w:val="0"/>
          <w:marRight w:val="0"/>
          <w:marTop w:val="0"/>
          <w:marBottom w:val="0"/>
          <w:divBdr>
            <w:top w:val="none" w:sz="0" w:space="0" w:color="auto"/>
            <w:left w:val="none" w:sz="0" w:space="0" w:color="auto"/>
            <w:bottom w:val="none" w:sz="0" w:space="0" w:color="auto"/>
            <w:right w:val="none" w:sz="0" w:space="0" w:color="auto"/>
          </w:divBdr>
        </w:div>
      </w:divsChild>
    </w:div>
    <w:div w:id="436363921">
      <w:bodyDiv w:val="1"/>
      <w:marLeft w:val="0"/>
      <w:marRight w:val="0"/>
      <w:marTop w:val="0"/>
      <w:marBottom w:val="0"/>
      <w:divBdr>
        <w:top w:val="none" w:sz="0" w:space="0" w:color="auto"/>
        <w:left w:val="none" w:sz="0" w:space="0" w:color="auto"/>
        <w:bottom w:val="none" w:sz="0" w:space="0" w:color="auto"/>
        <w:right w:val="none" w:sz="0" w:space="0" w:color="auto"/>
      </w:divBdr>
      <w:divsChild>
        <w:div w:id="329916277">
          <w:marLeft w:val="0"/>
          <w:marRight w:val="0"/>
          <w:marTop w:val="0"/>
          <w:marBottom w:val="0"/>
          <w:divBdr>
            <w:top w:val="none" w:sz="0" w:space="0" w:color="auto"/>
            <w:left w:val="none" w:sz="0" w:space="0" w:color="auto"/>
            <w:bottom w:val="none" w:sz="0" w:space="0" w:color="auto"/>
            <w:right w:val="none" w:sz="0" w:space="0" w:color="auto"/>
          </w:divBdr>
        </w:div>
        <w:div w:id="1812404883">
          <w:marLeft w:val="0"/>
          <w:marRight w:val="0"/>
          <w:marTop w:val="0"/>
          <w:marBottom w:val="0"/>
          <w:divBdr>
            <w:top w:val="none" w:sz="0" w:space="0" w:color="auto"/>
            <w:left w:val="none" w:sz="0" w:space="0" w:color="auto"/>
            <w:bottom w:val="none" w:sz="0" w:space="0" w:color="auto"/>
            <w:right w:val="none" w:sz="0" w:space="0" w:color="auto"/>
          </w:divBdr>
        </w:div>
      </w:divsChild>
    </w:div>
    <w:div w:id="449594479">
      <w:bodyDiv w:val="1"/>
      <w:marLeft w:val="0"/>
      <w:marRight w:val="0"/>
      <w:marTop w:val="0"/>
      <w:marBottom w:val="0"/>
      <w:divBdr>
        <w:top w:val="none" w:sz="0" w:space="0" w:color="auto"/>
        <w:left w:val="none" w:sz="0" w:space="0" w:color="auto"/>
        <w:bottom w:val="none" w:sz="0" w:space="0" w:color="auto"/>
        <w:right w:val="none" w:sz="0" w:space="0" w:color="auto"/>
      </w:divBdr>
    </w:div>
    <w:div w:id="476000138">
      <w:bodyDiv w:val="1"/>
      <w:marLeft w:val="0"/>
      <w:marRight w:val="0"/>
      <w:marTop w:val="0"/>
      <w:marBottom w:val="0"/>
      <w:divBdr>
        <w:top w:val="none" w:sz="0" w:space="0" w:color="auto"/>
        <w:left w:val="none" w:sz="0" w:space="0" w:color="auto"/>
        <w:bottom w:val="none" w:sz="0" w:space="0" w:color="auto"/>
        <w:right w:val="none" w:sz="0" w:space="0" w:color="auto"/>
      </w:divBdr>
    </w:div>
    <w:div w:id="476650050">
      <w:bodyDiv w:val="1"/>
      <w:marLeft w:val="0"/>
      <w:marRight w:val="0"/>
      <w:marTop w:val="0"/>
      <w:marBottom w:val="0"/>
      <w:divBdr>
        <w:top w:val="none" w:sz="0" w:space="0" w:color="auto"/>
        <w:left w:val="none" w:sz="0" w:space="0" w:color="auto"/>
        <w:bottom w:val="none" w:sz="0" w:space="0" w:color="auto"/>
        <w:right w:val="none" w:sz="0" w:space="0" w:color="auto"/>
      </w:divBdr>
    </w:div>
    <w:div w:id="505898648">
      <w:bodyDiv w:val="1"/>
      <w:marLeft w:val="0"/>
      <w:marRight w:val="0"/>
      <w:marTop w:val="0"/>
      <w:marBottom w:val="0"/>
      <w:divBdr>
        <w:top w:val="none" w:sz="0" w:space="0" w:color="auto"/>
        <w:left w:val="none" w:sz="0" w:space="0" w:color="auto"/>
        <w:bottom w:val="none" w:sz="0" w:space="0" w:color="auto"/>
        <w:right w:val="none" w:sz="0" w:space="0" w:color="auto"/>
      </w:divBdr>
      <w:divsChild>
        <w:div w:id="1450397022">
          <w:marLeft w:val="0"/>
          <w:marRight w:val="0"/>
          <w:marTop w:val="0"/>
          <w:marBottom w:val="0"/>
          <w:divBdr>
            <w:top w:val="none" w:sz="0" w:space="0" w:color="auto"/>
            <w:left w:val="none" w:sz="0" w:space="0" w:color="auto"/>
            <w:bottom w:val="none" w:sz="0" w:space="0" w:color="auto"/>
            <w:right w:val="none" w:sz="0" w:space="0" w:color="auto"/>
          </w:divBdr>
          <w:divsChild>
            <w:div w:id="499976311">
              <w:marLeft w:val="0"/>
              <w:marRight w:val="0"/>
              <w:marTop w:val="0"/>
              <w:marBottom w:val="0"/>
              <w:divBdr>
                <w:top w:val="none" w:sz="0" w:space="0" w:color="auto"/>
                <w:left w:val="none" w:sz="0" w:space="0" w:color="auto"/>
                <w:bottom w:val="none" w:sz="0" w:space="0" w:color="auto"/>
                <w:right w:val="none" w:sz="0" w:space="0" w:color="auto"/>
              </w:divBdr>
              <w:divsChild>
                <w:div w:id="114720574">
                  <w:marLeft w:val="0"/>
                  <w:marRight w:val="0"/>
                  <w:marTop w:val="0"/>
                  <w:marBottom w:val="0"/>
                  <w:divBdr>
                    <w:top w:val="none" w:sz="0" w:space="0" w:color="auto"/>
                    <w:left w:val="none" w:sz="0" w:space="0" w:color="auto"/>
                    <w:bottom w:val="none" w:sz="0" w:space="0" w:color="auto"/>
                    <w:right w:val="none" w:sz="0" w:space="0" w:color="auto"/>
                  </w:divBdr>
                  <w:divsChild>
                    <w:div w:id="10474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41158">
      <w:bodyDiv w:val="1"/>
      <w:marLeft w:val="0"/>
      <w:marRight w:val="0"/>
      <w:marTop w:val="0"/>
      <w:marBottom w:val="0"/>
      <w:divBdr>
        <w:top w:val="none" w:sz="0" w:space="0" w:color="auto"/>
        <w:left w:val="none" w:sz="0" w:space="0" w:color="auto"/>
        <w:bottom w:val="none" w:sz="0" w:space="0" w:color="auto"/>
        <w:right w:val="none" w:sz="0" w:space="0" w:color="auto"/>
      </w:divBdr>
      <w:divsChild>
        <w:div w:id="1606687873">
          <w:marLeft w:val="0"/>
          <w:marRight w:val="0"/>
          <w:marTop w:val="0"/>
          <w:marBottom w:val="0"/>
          <w:divBdr>
            <w:top w:val="none" w:sz="0" w:space="0" w:color="auto"/>
            <w:left w:val="none" w:sz="0" w:space="0" w:color="auto"/>
            <w:bottom w:val="none" w:sz="0" w:space="0" w:color="auto"/>
            <w:right w:val="none" w:sz="0" w:space="0" w:color="auto"/>
          </w:divBdr>
        </w:div>
        <w:div w:id="409695771">
          <w:marLeft w:val="0"/>
          <w:marRight w:val="0"/>
          <w:marTop w:val="0"/>
          <w:marBottom w:val="0"/>
          <w:divBdr>
            <w:top w:val="none" w:sz="0" w:space="0" w:color="auto"/>
            <w:left w:val="none" w:sz="0" w:space="0" w:color="auto"/>
            <w:bottom w:val="none" w:sz="0" w:space="0" w:color="auto"/>
            <w:right w:val="none" w:sz="0" w:space="0" w:color="auto"/>
          </w:divBdr>
        </w:div>
        <w:div w:id="210654091">
          <w:marLeft w:val="0"/>
          <w:marRight w:val="0"/>
          <w:marTop w:val="0"/>
          <w:marBottom w:val="0"/>
          <w:divBdr>
            <w:top w:val="none" w:sz="0" w:space="0" w:color="auto"/>
            <w:left w:val="none" w:sz="0" w:space="0" w:color="auto"/>
            <w:bottom w:val="none" w:sz="0" w:space="0" w:color="auto"/>
            <w:right w:val="none" w:sz="0" w:space="0" w:color="auto"/>
          </w:divBdr>
        </w:div>
      </w:divsChild>
    </w:div>
    <w:div w:id="529033700">
      <w:bodyDiv w:val="1"/>
      <w:marLeft w:val="0"/>
      <w:marRight w:val="0"/>
      <w:marTop w:val="0"/>
      <w:marBottom w:val="0"/>
      <w:divBdr>
        <w:top w:val="none" w:sz="0" w:space="0" w:color="auto"/>
        <w:left w:val="none" w:sz="0" w:space="0" w:color="auto"/>
        <w:bottom w:val="none" w:sz="0" w:space="0" w:color="auto"/>
        <w:right w:val="none" w:sz="0" w:space="0" w:color="auto"/>
      </w:divBdr>
      <w:divsChild>
        <w:div w:id="765267082">
          <w:marLeft w:val="0"/>
          <w:marRight w:val="0"/>
          <w:marTop w:val="0"/>
          <w:marBottom w:val="0"/>
          <w:divBdr>
            <w:top w:val="none" w:sz="0" w:space="0" w:color="auto"/>
            <w:left w:val="none" w:sz="0" w:space="0" w:color="auto"/>
            <w:bottom w:val="none" w:sz="0" w:space="0" w:color="auto"/>
            <w:right w:val="none" w:sz="0" w:space="0" w:color="auto"/>
          </w:divBdr>
        </w:div>
        <w:div w:id="461465405">
          <w:marLeft w:val="0"/>
          <w:marRight w:val="0"/>
          <w:marTop w:val="0"/>
          <w:marBottom w:val="0"/>
          <w:divBdr>
            <w:top w:val="none" w:sz="0" w:space="0" w:color="auto"/>
            <w:left w:val="none" w:sz="0" w:space="0" w:color="auto"/>
            <w:bottom w:val="none" w:sz="0" w:space="0" w:color="auto"/>
            <w:right w:val="none" w:sz="0" w:space="0" w:color="auto"/>
          </w:divBdr>
        </w:div>
        <w:div w:id="830415722">
          <w:marLeft w:val="0"/>
          <w:marRight w:val="0"/>
          <w:marTop w:val="0"/>
          <w:marBottom w:val="0"/>
          <w:divBdr>
            <w:top w:val="none" w:sz="0" w:space="0" w:color="auto"/>
            <w:left w:val="none" w:sz="0" w:space="0" w:color="auto"/>
            <w:bottom w:val="none" w:sz="0" w:space="0" w:color="auto"/>
            <w:right w:val="none" w:sz="0" w:space="0" w:color="auto"/>
          </w:divBdr>
        </w:div>
      </w:divsChild>
    </w:div>
    <w:div w:id="565646860">
      <w:bodyDiv w:val="1"/>
      <w:marLeft w:val="0"/>
      <w:marRight w:val="0"/>
      <w:marTop w:val="0"/>
      <w:marBottom w:val="0"/>
      <w:divBdr>
        <w:top w:val="none" w:sz="0" w:space="0" w:color="auto"/>
        <w:left w:val="none" w:sz="0" w:space="0" w:color="auto"/>
        <w:bottom w:val="none" w:sz="0" w:space="0" w:color="auto"/>
        <w:right w:val="none" w:sz="0" w:space="0" w:color="auto"/>
      </w:divBdr>
    </w:div>
    <w:div w:id="568006183">
      <w:bodyDiv w:val="1"/>
      <w:marLeft w:val="0"/>
      <w:marRight w:val="0"/>
      <w:marTop w:val="0"/>
      <w:marBottom w:val="0"/>
      <w:divBdr>
        <w:top w:val="none" w:sz="0" w:space="0" w:color="auto"/>
        <w:left w:val="none" w:sz="0" w:space="0" w:color="auto"/>
        <w:bottom w:val="none" w:sz="0" w:space="0" w:color="auto"/>
        <w:right w:val="none" w:sz="0" w:space="0" w:color="auto"/>
      </w:divBdr>
    </w:div>
    <w:div w:id="601187129">
      <w:bodyDiv w:val="1"/>
      <w:marLeft w:val="0"/>
      <w:marRight w:val="0"/>
      <w:marTop w:val="0"/>
      <w:marBottom w:val="0"/>
      <w:divBdr>
        <w:top w:val="none" w:sz="0" w:space="0" w:color="auto"/>
        <w:left w:val="none" w:sz="0" w:space="0" w:color="auto"/>
        <w:bottom w:val="none" w:sz="0" w:space="0" w:color="auto"/>
        <w:right w:val="none" w:sz="0" w:space="0" w:color="auto"/>
      </w:divBdr>
    </w:div>
    <w:div w:id="613636800">
      <w:bodyDiv w:val="1"/>
      <w:marLeft w:val="0"/>
      <w:marRight w:val="0"/>
      <w:marTop w:val="0"/>
      <w:marBottom w:val="0"/>
      <w:divBdr>
        <w:top w:val="none" w:sz="0" w:space="0" w:color="auto"/>
        <w:left w:val="none" w:sz="0" w:space="0" w:color="auto"/>
        <w:bottom w:val="none" w:sz="0" w:space="0" w:color="auto"/>
        <w:right w:val="none" w:sz="0" w:space="0" w:color="auto"/>
      </w:divBdr>
      <w:divsChild>
        <w:div w:id="1055616152">
          <w:marLeft w:val="0"/>
          <w:marRight w:val="0"/>
          <w:marTop w:val="0"/>
          <w:marBottom w:val="0"/>
          <w:divBdr>
            <w:top w:val="none" w:sz="0" w:space="0" w:color="auto"/>
            <w:left w:val="none" w:sz="0" w:space="0" w:color="auto"/>
            <w:bottom w:val="none" w:sz="0" w:space="0" w:color="auto"/>
            <w:right w:val="none" w:sz="0" w:space="0" w:color="auto"/>
          </w:divBdr>
        </w:div>
        <w:div w:id="415051076">
          <w:marLeft w:val="0"/>
          <w:marRight w:val="0"/>
          <w:marTop w:val="0"/>
          <w:marBottom w:val="0"/>
          <w:divBdr>
            <w:top w:val="none" w:sz="0" w:space="0" w:color="auto"/>
            <w:left w:val="none" w:sz="0" w:space="0" w:color="auto"/>
            <w:bottom w:val="none" w:sz="0" w:space="0" w:color="auto"/>
            <w:right w:val="none" w:sz="0" w:space="0" w:color="auto"/>
          </w:divBdr>
        </w:div>
        <w:div w:id="476728470">
          <w:marLeft w:val="0"/>
          <w:marRight w:val="0"/>
          <w:marTop w:val="0"/>
          <w:marBottom w:val="0"/>
          <w:divBdr>
            <w:top w:val="none" w:sz="0" w:space="0" w:color="auto"/>
            <w:left w:val="none" w:sz="0" w:space="0" w:color="auto"/>
            <w:bottom w:val="none" w:sz="0" w:space="0" w:color="auto"/>
            <w:right w:val="none" w:sz="0" w:space="0" w:color="auto"/>
          </w:divBdr>
        </w:div>
      </w:divsChild>
    </w:div>
    <w:div w:id="621227760">
      <w:bodyDiv w:val="1"/>
      <w:marLeft w:val="0"/>
      <w:marRight w:val="0"/>
      <w:marTop w:val="0"/>
      <w:marBottom w:val="0"/>
      <w:divBdr>
        <w:top w:val="none" w:sz="0" w:space="0" w:color="auto"/>
        <w:left w:val="none" w:sz="0" w:space="0" w:color="auto"/>
        <w:bottom w:val="none" w:sz="0" w:space="0" w:color="auto"/>
        <w:right w:val="none" w:sz="0" w:space="0" w:color="auto"/>
      </w:divBdr>
      <w:divsChild>
        <w:div w:id="1840268946">
          <w:marLeft w:val="0"/>
          <w:marRight w:val="0"/>
          <w:marTop w:val="0"/>
          <w:marBottom w:val="0"/>
          <w:divBdr>
            <w:top w:val="none" w:sz="0" w:space="0" w:color="auto"/>
            <w:left w:val="none" w:sz="0" w:space="0" w:color="auto"/>
            <w:bottom w:val="none" w:sz="0" w:space="0" w:color="auto"/>
            <w:right w:val="none" w:sz="0" w:space="0" w:color="auto"/>
          </w:divBdr>
        </w:div>
        <w:div w:id="1721204215">
          <w:marLeft w:val="0"/>
          <w:marRight w:val="0"/>
          <w:marTop w:val="0"/>
          <w:marBottom w:val="0"/>
          <w:divBdr>
            <w:top w:val="none" w:sz="0" w:space="0" w:color="auto"/>
            <w:left w:val="none" w:sz="0" w:space="0" w:color="auto"/>
            <w:bottom w:val="none" w:sz="0" w:space="0" w:color="auto"/>
            <w:right w:val="none" w:sz="0" w:space="0" w:color="auto"/>
          </w:divBdr>
        </w:div>
      </w:divsChild>
    </w:div>
    <w:div w:id="635448608">
      <w:bodyDiv w:val="1"/>
      <w:marLeft w:val="0"/>
      <w:marRight w:val="0"/>
      <w:marTop w:val="0"/>
      <w:marBottom w:val="0"/>
      <w:divBdr>
        <w:top w:val="none" w:sz="0" w:space="0" w:color="auto"/>
        <w:left w:val="none" w:sz="0" w:space="0" w:color="auto"/>
        <w:bottom w:val="none" w:sz="0" w:space="0" w:color="auto"/>
        <w:right w:val="none" w:sz="0" w:space="0" w:color="auto"/>
      </w:divBdr>
    </w:div>
    <w:div w:id="664019431">
      <w:bodyDiv w:val="1"/>
      <w:marLeft w:val="0"/>
      <w:marRight w:val="0"/>
      <w:marTop w:val="0"/>
      <w:marBottom w:val="0"/>
      <w:divBdr>
        <w:top w:val="none" w:sz="0" w:space="0" w:color="auto"/>
        <w:left w:val="none" w:sz="0" w:space="0" w:color="auto"/>
        <w:bottom w:val="none" w:sz="0" w:space="0" w:color="auto"/>
        <w:right w:val="none" w:sz="0" w:space="0" w:color="auto"/>
      </w:divBdr>
      <w:divsChild>
        <w:div w:id="684525696">
          <w:marLeft w:val="0"/>
          <w:marRight w:val="0"/>
          <w:marTop w:val="0"/>
          <w:marBottom w:val="0"/>
          <w:divBdr>
            <w:top w:val="none" w:sz="0" w:space="0" w:color="auto"/>
            <w:left w:val="none" w:sz="0" w:space="0" w:color="auto"/>
            <w:bottom w:val="none" w:sz="0" w:space="0" w:color="auto"/>
            <w:right w:val="none" w:sz="0" w:space="0" w:color="auto"/>
          </w:divBdr>
          <w:divsChild>
            <w:div w:id="688022359">
              <w:marLeft w:val="0"/>
              <w:marRight w:val="0"/>
              <w:marTop w:val="0"/>
              <w:marBottom w:val="0"/>
              <w:divBdr>
                <w:top w:val="none" w:sz="0" w:space="0" w:color="auto"/>
                <w:left w:val="none" w:sz="0" w:space="0" w:color="auto"/>
                <w:bottom w:val="none" w:sz="0" w:space="0" w:color="auto"/>
                <w:right w:val="none" w:sz="0" w:space="0" w:color="auto"/>
              </w:divBdr>
              <w:divsChild>
                <w:div w:id="541331922">
                  <w:marLeft w:val="0"/>
                  <w:marRight w:val="0"/>
                  <w:marTop w:val="0"/>
                  <w:marBottom w:val="0"/>
                  <w:divBdr>
                    <w:top w:val="none" w:sz="0" w:space="0" w:color="auto"/>
                    <w:left w:val="none" w:sz="0" w:space="0" w:color="auto"/>
                    <w:bottom w:val="none" w:sz="0" w:space="0" w:color="auto"/>
                    <w:right w:val="none" w:sz="0" w:space="0" w:color="auto"/>
                  </w:divBdr>
                  <w:divsChild>
                    <w:div w:id="207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6306">
      <w:bodyDiv w:val="1"/>
      <w:marLeft w:val="0"/>
      <w:marRight w:val="0"/>
      <w:marTop w:val="0"/>
      <w:marBottom w:val="0"/>
      <w:divBdr>
        <w:top w:val="none" w:sz="0" w:space="0" w:color="auto"/>
        <w:left w:val="none" w:sz="0" w:space="0" w:color="auto"/>
        <w:bottom w:val="none" w:sz="0" w:space="0" w:color="auto"/>
        <w:right w:val="none" w:sz="0" w:space="0" w:color="auto"/>
      </w:divBdr>
    </w:div>
    <w:div w:id="713425367">
      <w:bodyDiv w:val="1"/>
      <w:marLeft w:val="0"/>
      <w:marRight w:val="0"/>
      <w:marTop w:val="0"/>
      <w:marBottom w:val="0"/>
      <w:divBdr>
        <w:top w:val="none" w:sz="0" w:space="0" w:color="auto"/>
        <w:left w:val="none" w:sz="0" w:space="0" w:color="auto"/>
        <w:bottom w:val="none" w:sz="0" w:space="0" w:color="auto"/>
        <w:right w:val="none" w:sz="0" w:space="0" w:color="auto"/>
      </w:divBdr>
      <w:divsChild>
        <w:div w:id="1154024863">
          <w:marLeft w:val="0"/>
          <w:marRight w:val="0"/>
          <w:marTop w:val="0"/>
          <w:marBottom w:val="0"/>
          <w:divBdr>
            <w:top w:val="none" w:sz="0" w:space="0" w:color="auto"/>
            <w:left w:val="none" w:sz="0" w:space="0" w:color="auto"/>
            <w:bottom w:val="none" w:sz="0" w:space="0" w:color="auto"/>
            <w:right w:val="none" w:sz="0" w:space="0" w:color="auto"/>
          </w:divBdr>
          <w:divsChild>
            <w:div w:id="371854258">
              <w:marLeft w:val="0"/>
              <w:marRight w:val="0"/>
              <w:marTop w:val="0"/>
              <w:marBottom w:val="0"/>
              <w:divBdr>
                <w:top w:val="none" w:sz="0" w:space="0" w:color="auto"/>
                <w:left w:val="none" w:sz="0" w:space="0" w:color="auto"/>
                <w:bottom w:val="none" w:sz="0" w:space="0" w:color="auto"/>
                <w:right w:val="none" w:sz="0" w:space="0" w:color="auto"/>
              </w:divBdr>
              <w:divsChild>
                <w:div w:id="2145852328">
                  <w:marLeft w:val="0"/>
                  <w:marRight w:val="0"/>
                  <w:marTop w:val="0"/>
                  <w:marBottom w:val="0"/>
                  <w:divBdr>
                    <w:top w:val="none" w:sz="0" w:space="0" w:color="auto"/>
                    <w:left w:val="none" w:sz="0" w:space="0" w:color="auto"/>
                    <w:bottom w:val="none" w:sz="0" w:space="0" w:color="auto"/>
                    <w:right w:val="none" w:sz="0" w:space="0" w:color="auto"/>
                  </w:divBdr>
                  <w:divsChild>
                    <w:div w:id="11943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3480">
      <w:bodyDiv w:val="1"/>
      <w:marLeft w:val="0"/>
      <w:marRight w:val="0"/>
      <w:marTop w:val="0"/>
      <w:marBottom w:val="0"/>
      <w:divBdr>
        <w:top w:val="none" w:sz="0" w:space="0" w:color="auto"/>
        <w:left w:val="none" w:sz="0" w:space="0" w:color="auto"/>
        <w:bottom w:val="none" w:sz="0" w:space="0" w:color="auto"/>
        <w:right w:val="none" w:sz="0" w:space="0" w:color="auto"/>
      </w:divBdr>
    </w:div>
    <w:div w:id="750079960">
      <w:bodyDiv w:val="1"/>
      <w:marLeft w:val="0"/>
      <w:marRight w:val="0"/>
      <w:marTop w:val="0"/>
      <w:marBottom w:val="0"/>
      <w:divBdr>
        <w:top w:val="none" w:sz="0" w:space="0" w:color="auto"/>
        <w:left w:val="none" w:sz="0" w:space="0" w:color="auto"/>
        <w:bottom w:val="none" w:sz="0" w:space="0" w:color="auto"/>
        <w:right w:val="none" w:sz="0" w:space="0" w:color="auto"/>
      </w:divBdr>
      <w:divsChild>
        <w:div w:id="875972464">
          <w:marLeft w:val="0"/>
          <w:marRight w:val="0"/>
          <w:marTop w:val="0"/>
          <w:marBottom w:val="0"/>
          <w:divBdr>
            <w:top w:val="none" w:sz="0" w:space="0" w:color="auto"/>
            <w:left w:val="none" w:sz="0" w:space="0" w:color="auto"/>
            <w:bottom w:val="none" w:sz="0" w:space="0" w:color="auto"/>
            <w:right w:val="none" w:sz="0" w:space="0" w:color="auto"/>
          </w:divBdr>
          <w:divsChild>
            <w:div w:id="408697711">
              <w:marLeft w:val="0"/>
              <w:marRight w:val="0"/>
              <w:marTop w:val="0"/>
              <w:marBottom w:val="0"/>
              <w:divBdr>
                <w:top w:val="none" w:sz="0" w:space="0" w:color="auto"/>
                <w:left w:val="none" w:sz="0" w:space="0" w:color="auto"/>
                <w:bottom w:val="none" w:sz="0" w:space="0" w:color="auto"/>
                <w:right w:val="none" w:sz="0" w:space="0" w:color="auto"/>
              </w:divBdr>
              <w:divsChild>
                <w:div w:id="3668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4440">
      <w:bodyDiv w:val="1"/>
      <w:marLeft w:val="0"/>
      <w:marRight w:val="0"/>
      <w:marTop w:val="0"/>
      <w:marBottom w:val="0"/>
      <w:divBdr>
        <w:top w:val="none" w:sz="0" w:space="0" w:color="auto"/>
        <w:left w:val="none" w:sz="0" w:space="0" w:color="auto"/>
        <w:bottom w:val="none" w:sz="0" w:space="0" w:color="auto"/>
        <w:right w:val="none" w:sz="0" w:space="0" w:color="auto"/>
      </w:divBdr>
      <w:divsChild>
        <w:div w:id="501705116">
          <w:marLeft w:val="0"/>
          <w:marRight w:val="0"/>
          <w:marTop w:val="0"/>
          <w:marBottom w:val="0"/>
          <w:divBdr>
            <w:top w:val="none" w:sz="0" w:space="0" w:color="auto"/>
            <w:left w:val="none" w:sz="0" w:space="0" w:color="auto"/>
            <w:bottom w:val="none" w:sz="0" w:space="0" w:color="auto"/>
            <w:right w:val="none" w:sz="0" w:space="0" w:color="auto"/>
          </w:divBdr>
          <w:divsChild>
            <w:div w:id="1725785890">
              <w:marLeft w:val="0"/>
              <w:marRight w:val="0"/>
              <w:marTop w:val="0"/>
              <w:marBottom w:val="0"/>
              <w:divBdr>
                <w:top w:val="none" w:sz="0" w:space="0" w:color="auto"/>
                <w:left w:val="none" w:sz="0" w:space="0" w:color="auto"/>
                <w:bottom w:val="none" w:sz="0" w:space="0" w:color="auto"/>
                <w:right w:val="none" w:sz="0" w:space="0" w:color="auto"/>
              </w:divBdr>
              <w:divsChild>
                <w:div w:id="756368018">
                  <w:marLeft w:val="0"/>
                  <w:marRight w:val="0"/>
                  <w:marTop w:val="0"/>
                  <w:marBottom w:val="0"/>
                  <w:divBdr>
                    <w:top w:val="none" w:sz="0" w:space="0" w:color="auto"/>
                    <w:left w:val="none" w:sz="0" w:space="0" w:color="auto"/>
                    <w:bottom w:val="none" w:sz="0" w:space="0" w:color="auto"/>
                    <w:right w:val="none" w:sz="0" w:space="0" w:color="auto"/>
                  </w:divBdr>
                  <w:divsChild>
                    <w:div w:id="15669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651323">
      <w:bodyDiv w:val="1"/>
      <w:marLeft w:val="0"/>
      <w:marRight w:val="0"/>
      <w:marTop w:val="0"/>
      <w:marBottom w:val="0"/>
      <w:divBdr>
        <w:top w:val="none" w:sz="0" w:space="0" w:color="auto"/>
        <w:left w:val="none" w:sz="0" w:space="0" w:color="auto"/>
        <w:bottom w:val="none" w:sz="0" w:space="0" w:color="auto"/>
        <w:right w:val="none" w:sz="0" w:space="0" w:color="auto"/>
      </w:divBdr>
      <w:divsChild>
        <w:div w:id="394863022">
          <w:marLeft w:val="0"/>
          <w:marRight w:val="0"/>
          <w:marTop w:val="0"/>
          <w:marBottom w:val="0"/>
          <w:divBdr>
            <w:top w:val="none" w:sz="0" w:space="0" w:color="auto"/>
            <w:left w:val="none" w:sz="0" w:space="0" w:color="auto"/>
            <w:bottom w:val="none" w:sz="0" w:space="0" w:color="auto"/>
            <w:right w:val="none" w:sz="0" w:space="0" w:color="auto"/>
          </w:divBdr>
          <w:divsChild>
            <w:div w:id="184222467">
              <w:marLeft w:val="0"/>
              <w:marRight w:val="0"/>
              <w:marTop w:val="0"/>
              <w:marBottom w:val="0"/>
              <w:divBdr>
                <w:top w:val="none" w:sz="0" w:space="0" w:color="auto"/>
                <w:left w:val="none" w:sz="0" w:space="0" w:color="auto"/>
                <w:bottom w:val="none" w:sz="0" w:space="0" w:color="auto"/>
                <w:right w:val="none" w:sz="0" w:space="0" w:color="auto"/>
              </w:divBdr>
              <w:divsChild>
                <w:div w:id="6166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860">
      <w:bodyDiv w:val="1"/>
      <w:marLeft w:val="0"/>
      <w:marRight w:val="0"/>
      <w:marTop w:val="0"/>
      <w:marBottom w:val="0"/>
      <w:divBdr>
        <w:top w:val="none" w:sz="0" w:space="0" w:color="auto"/>
        <w:left w:val="none" w:sz="0" w:space="0" w:color="auto"/>
        <w:bottom w:val="none" w:sz="0" w:space="0" w:color="auto"/>
        <w:right w:val="none" w:sz="0" w:space="0" w:color="auto"/>
      </w:divBdr>
    </w:div>
    <w:div w:id="875116577">
      <w:bodyDiv w:val="1"/>
      <w:marLeft w:val="0"/>
      <w:marRight w:val="0"/>
      <w:marTop w:val="0"/>
      <w:marBottom w:val="0"/>
      <w:divBdr>
        <w:top w:val="none" w:sz="0" w:space="0" w:color="auto"/>
        <w:left w:val="none" w:sz="0" w:space="0" w:color="auto"/>
        <w:bottom w:val="none" w:sz="0" w:space="0" w:color="auto"/>
        <w:right w:val="none" w:sz="0" w:space="0" w:color="auto"/>
      </w:divBdr>
    </w:div>
    <w:div w:id="881941598">
      <w:bodyDiv w:val="1"/>
      <w:marLeft w:val="0"/>
      <w:marRight w:val="0"/>
      <w:marTop w:val="0"/>
      <w:marBottom w:val="0"/>
      <w:divBdr>
        <w:top w:val="none" w:sz="0" w:space="0" w:color="auto"/>
        <w:left w:val="none" w:sz="0" w:space="0" w:color="auto"/>
        <w:bottom w:val="none" w:sz="0" w:space="0" w:color="auto"/>
        <w:right w:val="none" w:sz="0" w:space="0" w:color="auto"/>
      </w:divBdr>
    </w:div>
    <w:div w:id="895579808">
      <w:bodyDiv w:val="1"/>
      <w:marLeft w:val="0"/>
      <w:marRight w:val="0"/>
      <w:marTop w:val="0"/>
      <w:marBottom w:val="0"/>
      <w:divBdr>
        <w:top w:val="none" w:sz="0" w:space="0" w:color="auto"/>
        <w:left w:val="none" w:sz="0" w:space="0" w:color="auto"/>
        <w:bottom w:val="none" w:sz="0" w:space="0" w:color="auto"/>
        <w:right w:val="none" w:sz="0" w:space="0" w:color="auto"/>
      </w:divBdr>
      <w:divsChild>
        <w:div w:id="1698579962">
          <w:marLeft w:val="547"/>
          <w:marRight w:val="0"/>
          <w:marTop w:val="0"/>
          <w:marBottom w:val="0"/>
          <w:divBdr>
            <w:top w:val="none" w:sz="0" w:space="0" w:color="auto"/>
            <w:left w:val="none" w:sz="0" w:space="0" w:color="auto"/>
            <w:bottom w:val="none" w:sz="0" w:space="0" w:color="auto"/>
            <w:right w:val="none" w:sz="0" w:space="0" w:color="auto"/>
          </w:divBdr>
        </w:div>
      </w:divsChild>
    </w:div>
    <w:div w:id="975377490">
      <w:bodyDiv w:val="1"/>
      <w:marLeft w:val="0"/>
      <w:marRight w:val="0"/>
      <w:marTop w:val="0"/>
      <w:marBottom w:val="0"/>
      <w:divBdr>
        <w:top w:val="none" w:sz="0" w:space="0" w:color="auto"/>
        <w:left w:val="none" w:sz="0" w:space="0" w:color="auto"/>
        <w:bottom w:val="none" w:sz="0" w:space="0" w:color="auto"/>
        <w:right w:val="none" w:sz="0" w:space="0" w:color="auto"/>
      </w:divBdr>
    </w:div>
    <w:div w:id="991181020">
      <w:bodyDiv w:val="1"/>
      <w:marLeft w:val="0"/>
      <w:marRight w:val="0"/>
      <w:marTop w:val="0"/>
      <w:marBottom w:val="0"/>
      <w:divBdr>
        <w:top w:val="none" w:sz="0" w:space="0" w:color="auto"/>
        <w:left w:val="none" w:sz="0" w:space="0" w:color="auto"/>
        <w:bottom w:val="none" w:sz="0" w:space="0" w:color="auto"/>
        <w:right w:val="none" w:sz="0" w:space="0" w:color="auto"/>
      </w:divBdr>
    </w:div>
    <w:div w:id="1014725809">
      <w:bodyDiv w:val="1"/>
      <w:marLeft w:val="0"/>
      <w:marRight w:val="0"/>
      <w:marTop w:val="0"/>
      <w:marBottom w:val="0"/>
      <w:divBdr>
        <w:top w:val="none" w:sz="0" w:space="0" w:color="auto"/>
        <w:left w:val="none" w:sz="0" w:space="0" w:color="auto"/>
        <w:bottom w:val="none" w:sz="0" w:space="0" w:color="auto"/>
        <w:right w:val="none" w:sz="0" w:space="0" w:color="auto"/>
      </w:divBdr>
      <w:divsChild>
        <w:div w:id="1750887066">
          <w:marLeft w:val="0"/>
          <w:marRight w:val="0"/>
          <w:marTop w:val="0"/>
          <w:marBottom w:val="0"/>
          <w:divBdr>
            <w:top w:val="none" w:sz="0" w:space="0" w:color="auto"/>
            <w:left w:val="none" w:sz="0" w:space="0" w:color="auto"/>
            <w:bottom w:val="none" w:sz="0" w:space="0" w:color="auto"/>
            <w:right w:val="none" w:sz="0" w:space="0" w:color="auto"/>
          </w:divBdr>
          <w:divsChild>
            <w:div w:id="556162668">
              <w:marLeft w:val="0"/>
              <w:marRight w:val="0"/>
              <w:marTop w:val="0"/>
              <w:marBottom w:val="0"/>
              <w:divBdr>
                <w:top w:val="none" w:sz="0" w:space="0" w:color="auto"/>
                <w:left w:val="none" w:sz="0" w:space="0" w:color="auto"/>
                <w:bottom w:val="none" w:sz="0" w:space="0" w:color="auto"/>
                <w:right w:val="none" w:sz="0" w:space="0" w:color="auto"/>
              </w:divBdr>
              <w:divsChild>
                <w:div w:id="1797023525">
                  <w:marLeft w:val="0"/>
                  <w:marRight w:val="0"/>
                  <w:marTop w:val="0"/>
                  <w:marBottom w:val="0"/>
                  <w:divBdr>
                    <w:top w:val="none" w:sz="0" w:space="0" w:color="auto"/>
                    <w:left w:val="none" w:sz="0" w:space="0" w:color="auto"/>
                    <w:bottom w:val="none" w:sz="0" w:space="0" w:color="auto"/>
                    <w:right w:val="none" w:sz="0" w:space="0" w:color="auto"/>
                  </w:divBdr>
                  <w:divsChild>
                    <w:div w:id="899825510">
                      <w:marLeft w:val="0"/>
                      <w:marRight w:val="0"/>
                      <w:marTop w:val="0"/>
                      <w:marBottom w:val="0"/>
                      <w:divBdr>
                        <w:top w:val="none" w:sz="0" w:space="0" w:color="auto"/>
                        <w:left w:val="none" w:sz="0" w:space="0" w:color="auto"/>
                        <w:bottom w:val="none" w:sz="0" w:space="0" w:color="auto"/>
                        <w:right w:val="none" w:sz="0" w:space="0" w:color="auto"/>
                      </w:divBdr>
                    </w:div>
                    <w:div w:id="1254897627">
                      <w:marLeft w:val="0"/>
                      <w:marRight w:val="0"/>
                      <w:marTop w:val="0"/>
                      <w:marBottom w:val="0"/>
                      <w:divBdr>
                        <w:top w:val="none" w:sz="0" w:space="0" w:color="auto"/>
                        <w:left w:val="none" w:sz="0" w:space="0" w:color="auto"/>
                        <w:bottom w:val="none" w:sz="0" w:space="0" w:color="auto"/>
                        <w:right w:val="none" w:sz="0" w:space="0" w:color="auto"/>
                      </w:divBdr>
                    </w:div>
                  </w:divsChild>
                </w:div>
                <w:div w:id="466971488">
                  <w:marLeft w:val="0"/>
                  <w:marRight w:val="0"/>
                  <w:marTop w:val="0"/>
                  <w:marBottom w:val="0"/>
                  <w:divBdr>
                    <w:top w:val="none" w:sz="0" w:space="0" w:color="auto"/>
                    <w:left w:val="none" w:sz="0" w:space="0" w:color="auto"/>
                    <w:bottom w:val="none" w:sz="0" w:space="0" w:color="auto"/>
                    <w:right w:val="none" w:sz="0" w:space="0" w:color="auto"/>
                  </w:divBdr>
                  <w:divsChild>
                    <w:div w:id="676424160">
                      <w:marLeft w:val="0"/>
                      <w:marRight w:val="0"/>
                      <w:marTop w:val="0"/>
                      <w:marBottom w:val="0"/>
                      <w:divBdr>
                        <w:top w:val="none" w:sz="0" w:space="0" w:color="auto"/>
                        <w:left w:val="none" w:sz="0" w:space="0" w:color="auto"/>
                        <w:bottom w:val="none" w:sz="0" w:space="0" w:color="auto"/>
                        <w:right w:val="none" w:sz="0" w:space="0" w:color="auto"/>
                      </w:divBdr>
                    </w:div>
                    <w:div w:id="1867718242">
                      <w:marLeft w:val="0"/>
                      <w:marRight w:val="0"/>
                      <w:marTop w:val="0"/>
                      <w:marBottom w:val="0"/>
                      <w:divBdr>
                        <w:top w:val="none" w:sz="0" w:space="0" w:color="auto"/>
                        <w:left w:val="none" w:sz="0" w:space="0" w:color="auto"/>
                        <w:bottom w:val="none" w:sz="0" w:space="0" w:color="auto"/>
                        <w:right w:val="none" w:sz="0" w:space="0" w:color="auto"/>
                      </w:divBdr>
                    </w:div>
                  </w:divsChild>
                </w:div>
                <w:div w:id="35587090">
                  <w:marLeft w:val="0"/>
                  <w:marRight w:val="0"/>
                  <w:marTop w:val="0"/>
                  <w:marBottom w:val="0"/>
                  <w:divBdr>
                    <w:top w:val="none" w:sz="0" w:space="0" w:color="auto"/>
                    <w:left w:val="none" w:sz="0" w:space="0" w:color="auto"/>
                    <w:bottom w:val="none" w:sz="0" w:space="0" w:color="auto"/>
                    <w:right w:val="none" w:sz="0" w:space="0" w:color="auto"/>
                  </w:divBdr>
                  <w:divsChild>
                    <w:div w:id="16751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361539">
      <w:bodyDiv w:val="1"/>
      <w:marLeft w:val="0"/>
      <w:marRight w:val="0"/>
      <w:marTop w:val="0"/>
      <w:marBottom w:val="0"/>
      <w:divBdr>
        <w:top w:val="none" w:sz="0" w:space="0" w:color="auto"/>
        <w:left w:val="none" w:sz="0" w:space="0" w:color="auto"/>
        <w:bottom w:val="none" w:sz="0" w:space="0" w:color="auto"/>
        <w:right w:val="none" w:sz="0" w:space="0" w:color="auto"/>
      </w:divBdr>
    </w:div>
    <w:div w:id="1060441740">
      <w:bodyDiv w:val="1"/>
      <w:marLeft w:val="0"/>
      <w:marRight w:val="0"/>
      <w:marTop w:val="0"/>
      <w:marBottom w:val="0"/>
      <w:divBdr>
        <w:top w:val="none" w:sz="0" w:space="0" w:color="auto"/>
        <w:left w:val="none" w:sz="0" w:space="0" w:color="auto"/>
        <w:bottom w:val="none" w:sz="0" w:space="0" w:color="auto"/>
        <w:right w:val="none" w:sz="0" w:space="0" w:color="auto"/>
      </w:divBdr>
      <w:divsChild>
        <w:div w:id="323704231">
          <w:marLeft w:val="547"/>
          <w:marRight w:val="0"/>
          <w:marTop w:val="0"/>
          <w:marBottom w:val="0"/>
          <w:divBdr>
            <w:top w:val="none" w:sz="0" w:space="0" w:color="auto"/>
            <w:left w:val="none" w:sz="0" w:space="0" w:color="auto"/>
            <w:bottom w:val="none" w:sz="0" w:space="0" w:color="auto"/>
            <w:right w:val="none" w:sz="0" w:space="0" w:color="auto"/>
          </w:divBdr>
        </w:div>
        <w:div w:id="723675446">
          <w:marLeft w:val="547"/>
          <w:marRight w:val="0"/>
          <w:marTop w:val="0"/>
          <w:marBottom w:val="0"/>
          <w:divBdr>
            <w:top w:val="none" w:sz="0" w:space="0" w:color="auto"/>
            <w:left w:val="none" w:sz="0" w:space="0" w:color="auto"/>
            <w:bottom w:val="none" w:sz="0" w:space="0" w:color="auto"/>
            <w:right w:val="none" w:sz="0" w:space="0" w:color="auto"/>
          </w:divBdr>
        </w:div>
        <w:div w:id="1312757019">
          <w:marLeft w:val="547"/>
          <w:marRight w:val="0"/>
          <w:marTop w:val="0"/>
          <w:marBottom w:val="0"/>
          <w:divBdr>
            <w:top w:val="none" w:sz="0" w:space="0" w:color="auto"/>
            <w:left w:val="none" w:sz="0" w:space="0" w:color="auto"/>
            <w:bottom w:val="none" w:sz="0" w:space="0" w:color="auto"/>
            <w:right w:val="none" w:sz="0" w:space="0" w:color="auto"/>
          </w:divBdr>
        </w:div>
        <w:div w:id="1425609841">
          <w:marLeft w:val="547"/>
          <w:marRight w:val="0"/>
          <w:marTop w:val="0"/>
          <w:marBottom w:val="0"/>
          <w:divBdr>
            <w:top w:val="none" w:sz="0" w:space="0" w:color="auto"/>
            <w:left w:val="none" w:sz="0" w:space="0" w:color="auto"/>
            <w:bottom w:val="none" w:sz="0" w:space="0" w:color="auto"/>
            <w:right w:val="none" w:sz="0" w:space="0" w:color="auto"/>
          </w:divBdr>
        </w:div>
      </w:divsChild>
    </w:div>
    <w:div w:id="1112439106">
      <w:bodyDiv w:val="1"/>
      <w:marLeft w:val="0"/>
      <w:marRight w:val="0"/>
      <w:marTop w:val="0"/>
      <w:marBottom w:val="0"/>
      <w:divBdr>
        <w:top w:val="none" w:sz="0" w:space="0" w:color="auto"/>
        <w:left w:val="none" w:sz="0" w:space="0" w:color="auto"/>
        <w:bottom w:val="none" w:sz="0" w:space="0" w:color="auto"/>
        <w:right w:val="none" w:sz="0" w:space="0" w:color="auto"/>
      </w:divBdr>
    </w:div>
    <w:div w:id="1162114966">
      <w:bodyDiv w:val="1"/>
      <w:marLeft w:val="0"/>
      <w:marRight w:val="0"/>
      <w:marTop w:val="0"/>
      <w:marBottom w:val="0"/>
      <w:divBdr>
        <w:top w:val="none" w:sz="0" w:space="0" w:color="auto"/>
        <w:left w:val="none" w:sz="0" w:space="0" w:color="auto"/>
        <w:bottom w:val="none" w:sz="0" w:space="0" w:color="auto"/>
        <w:right w:val="none" w:sz="0" w:space="0" w:color="auto"/>
      </w:divBdr>
    </w:div>
    <w:div w:id="1162811628">
      <w:bodyDiv w:val="1"/>
      <w:marLeft w:val="0"/>
      <w:marRight w:val="0"/>
      <w:marTop w:val="0"/>
      <w:marBottom w:val="0"/>
      <w:divBdr>
        <w:top w:val="none" w:sz="0" w:space="0" w:color="auto"/>
        <w:left w:val="none" w:sz="0" w:space="0" w:color="auto"/>
        <w:bottom w:val="none" w:sz="0" w:space="0" w:color="auto"/>
        <w:right w:val="none" w:sz="0" w:space="0" w:color="auto"/>
      </w:divBdr>
    </w:div>
    <w:div w:id="1170293952">
      <w:bodyDiv w:val="1"/>
      <w:marLeft w:val="0"/>
      <w:marRight w:val="0"/>
      <w:marTop w:val="0"/>
      <w:marBottom w:val="0"/>
      <w:divBdr>
        <w:top w:val="none" w:sz="0" w:space="0" w:color="auto"/>
        <w:left w:val="none" w:sz="0" w:space="0" w:color="auto"/>
        <w:bottom w:val="none" w:sz="0" w:space="0" w:color="auto"/>
        <w:right w:val="none" w:sz="0" w:space="0" w:color="auto"/>
      </w:divBdr>
    </w:div>
    <w:div w:id="1174342146">
      <w:bodyDiv w:val="1"/>
      <w:marLeft w:val="0"/>
      <w:marRight w:val="0"/>
      <w:marTop w:val="0"/>
      <w:marBottom w:val="0"/>
      <w:divBdr>
        <w:top w:val="none" w:sz="0" w:space="0" w:color="auto"/>
        <w:left w:val="none" w:sz="0" w:space="0" w:color="auto"/>
        <w:bottom w:val="none" w:sz="0" w:space="0" w:color="auto"/>
        <w:right w:val="none" w:sz="0" w:space="0" w:color="auto"/>
      </w:divBdr>
    </w:div>
    <w:div w:id="1187985953">
      <w:bodyDiv w:val="1"/>
      <w:marLeft w:val="0"/>
      <w:marRight w:val="0"/>
      <w:marTop w:val="0"/>
      <w:marBottom w:val="0"/>
      <w:divBdr>
        <w:top w:val="none" w:sz="0" w:space="0" w:color="auto"/>
        <w:left w:val="none" w:sz="0" w:space="0" w:color="auto"/>
        <w:bottom w:val="none" w:sz="0" w:space="0" w:color="auto"/>
        <w:right w:val="none" w:sz="0" w:space="0" w:color="auto"/>
      </w:divBdr>
    </w:div>
    <w:div w:id="1216550907">
      <w:bodyDiv w:val="1"/>
      <w:marLeft w:val="0"/>
      <w:marRight w:val="0"/>
      <w:marTop w:val="0"/>
      <w:marBottom w:val="0"/>
      <w:divBdr>
        <w:top w:val="none" w:sz="0" w:space="0" w:color="auto"/>
        <w:left w:val="none" w:sz="0" w:space="0" w:color="auto"/>
        <w:bottom w:val="none" w:sz="0" w:space="0" w:color="auto"/>
        <w:right w:val="none" w:sz="0" w:space="0" w:color="auto"/>
      </w:divBdr>
      <w:divsChild>
        <w:div w:id="717169144">
          <w:marLeft w:val="0"/>
          <w:marRight w:val="0"/>
          <w:marTop w:val="0"/>
          <w:marBottom w:val="0"/>
          <w:divBdr>
            <w:top w:val="none" w:sz="0" w:space="0" w:color="auto"/>
            <w:left w:val="none" w:sz="0" w:space="0" w:color="auto"/>
            <w:bottom w:val="none" w:sz="0" w:space="0" w:color="auto"/>
            <w:right w:val="none" w:sz="0" w:space="0" w:color="auto"/>
          </w:divBdr>
          <w:divsChild>
            <w:div w:id="1774323930">
              <w:marLeft w:val="0"/>
              <w:marRight w:val="0"/>
              <w:marTop w:val="0"/>
              <w:marBottom w:val="0"/>
              <w:divBdr>
                <w:top w:val="none" w:sz="0" w:space="0" w:color="auto"/>
                <w:left w:val="none" w:sz="0" w:space="0" w:color="auto"/>
                <w:bottom w:val="none" w:sz="0" w:space="0" w:color="auto"/>
                <w:right w:val="none" w:sz="0" w:space="0" w:color="auto"/>
              </w:divBdr>
              <w:divsChild>
                <w:div w:id="9451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89693">
      <w:bodyDiv w:val="1"/>
      <w:marLeft w:val="0"/>
      <w:marRight w:val="0"/>
      <w:marTop w:val="0"/>
      <w:marBottom w:val="0"/>
      <w:divBdr>
        <w:top w:val="none" w:sz="0" w:space="0" w:color="auto"/>
        <w:left w:val="none" w:sz="0" w:space="0" w:color="auto"/>
        <w:bottom w:val="none" w:sz="0" w:space="0" w:color="auto"/>
        <w:right w:val="none" w:sz="0" w:space="0" w:color="auto"/>
      </w:divBdr>
      <w:divsChild>
        <w:div w:id="2036342584">
          <w:marLeft w:val="0"/>
          <w:marRight w:val="0"/>
          <w:marTop w:val="0"/>
          <w:marBottom w:val="0"/>
          <w:divBdr>
            <w:top w:val="none" w:sz="0" w:space="0" w:color="auto"/>
            <w:left w:val="none" w:sz="0" w:space="0" w:color="auto"/>
            <w:bottom w:val="none" w:sz="0" w:space="0" w:color="auto"/>
            <w:right w:val="none" w:sz="0" w:space="0" w:color="auto"/>
          </w:divBdr>
          <w:divsChild>
            <w:div w:id="1933472726">
              <w:marLeft w:val="0"/>
              <w:marRight w:val="0"/>
              <w:marTop w:val="0"/>
              <w:marBottom w:val="0"/>
              <w:divBdr>
                <w:top w:val="none" w:sz="0" w:space="0" w:color="auto"/>
                <w:left w:val="none" w:sz="0" w:space="0" w:color="auto"/>
                <w:bottom w:val="none" w:sz="0" w:space="0" w:color="auto"/>
                <w:right w:val="none" w:sz="0" w:space="0" w:color="auto"/>
              </w:divBdr>
              <w:divsChild>
                <w:div w:id="18463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50766">
      <w:bodyDiv w:val="1"/>
      <w:marLeft w:val="0"/>
      <w:marRight w:val="0"/>
      <w:marTop w:val="0"/>
      <w:marBottom w:val="0"/>
      <w:divBdr>
        <w:top w:val="none" w:sz="0" w:space="0" w:color="auto"/>
        <w:left w:val="none" w:sz="0" w:space="0" w:color="auto"/>
        <w:bottom w:val="none" w:sz="0" w:space="0" w:color="auto"/>
        <w:right w:val="none" w:sz="0" w:space="0" w:color="auto"/>
      </w:divBdr>
    </w:div>
    <w:div w:id="1277445004">
      <w:bodyDiv w:val="1"/>
      <w:marLeft w:val="0"/>
      <w:marRight w:val="0"/>
      <w:marTop w:val="0"/>
      <w:marBottom w:val="0"/>
      <w:divBdr>
        <w:top w:val="none" w:sz="0" w:space="0" w:color="auto"/>
        <w:left w:val="none" w:sz="0" w:space="0" w:color="auto"/>
        <w:bottom w:val="none" w:sz="0" w:space="0" w:color="auto"/>
        <w:right w:val="none" w:sz="0" w:space="0" w:color="auto"/>
      </w:divBdr>
    </w:div>
    <w:div w:id="1284653637">
      <w:bodyDiv w:val="1"/>
      <w:marLeft w:val="0"/>
      <w:marRight w:val="0"/>
      <w:marTop w:val="0"/>
      <w:marBottom w:val="0"/>
      <w:divBdr>
        <w:top w:val="none" w:sz="0" w:space="0" w:color="auto"/>
        <w:left w:val="none" w:sz="0" w:space="0" w:color="auto"/>
        <w:bottom w:val="none" w:sz="0" w:space="0" w:color="auto"/>
        <w:right w:val="none" w:sz="0" w:space="0" w:color="auto"/>
      </w:divBdr>
    </w:div>
    <w:div w:id="1295022908">
      <w:bodyDiv w:val="1"/>
      <w:marLeft w:val="0"/>
      <w:marRight w:val="0"/>
      <w:marTop w:val="0"/>
      <w:marBottom w:val="0"/>
      <w:divBdr>
        <w:top w:val="none" w:sz="0" w:space="0" w:color="auto"/>
        <w:left w:val="none" w:sz="0" w:space="0" w:color="auto"/>
        <w:bottom w:val="none" w:sz="0" w:space="0" w:color="auto"/>
        <w:right w:val="none" w:sz="0" w:space="0" w:color="auto"/>
      </w:divBdr>
    </w:div>
    <w:div w:id="1297494936">
      <w:bodyDiv w:val="1"/>
      <w:marLeft w:val="0"/>
      <w:marRight w:val="0"/>
      <w:marTop w:val="0"/>
      <w:marBottom w:val="0"/>
      <w:divBdr>
        <w:top w:val="none" w:sz="0" w:space="0" w:color="auto"/>
        <w:left w:val="none" w:sz="0" w:space="0" w:color="auto"/>
        <w:bottom w:val="none" w:sz="0" w:space="0" w:color="auto"/>
        <w:right w:val="none" w:sz="0" w:space="0" w:color="auto"/>
      </w:divBdr>
    </w:div>
    <w:div w:id="1328481537">
      <w:bodyDiv w:val="1"/>
      <w:marLeft w:val="0"/>
      <w:marRight w:val="0"/>
      <w:marTop w:val="0"/>
      <w:marBottom w:val="0"/>
      <w:divBdr>
        <w:top w:val="none" w:sz="0" w:space="0" w:color="auto"/>
        <w:left w:val="none" w:sz="0" w:space="0" w:color="auto"/>
        <w:bottom w:val="none" w:sz="0" w:space="0" w:color="auto"/>
        <w:right w:val="none" w:sz="0" w:space="0" w:color="auto"/>
      </w:divBdr>
      <w:divsChild>
        <w:div w:id="429280030">
          <w:marLeft w:val="0"/>
          <w:marRight w:val="0"/>
          <w:marTop w:val="0"/>
          <w:marBottom w:val="0"/>
          <w:divBdr>
            <w:top w:val="none" w:sz="0" w:space="0" w:color="auto"/>
            <w:left w:val="none" w:sz="0" w:space="0" w:color="auto"/>
            <w:bottom w:val="none" w:sz="0" w:space="0" w:color="auto"/>
            <w:right w:val="none" w:sz="0" w:space="0" w:color="auto"/>
          </w:divBdr>
        </w:div>
        <w:div w:id="1524326374">
          <w:marLeft w:val="0"/>
          <w:marRight w:val="0"/>
          <w:marTop w:val="0"/>
          <w:marBottom w:val="0"/>
          <w:divBdr>
            <w:top w:val="none" w:sz="0" w:space="0" w:color="auto"/>
            <w:left w:val="none" w:sz="0" w:space="0" w:color="auto"/>
            <w:bottom w:val="none" w:sz="0" w:space="0" w:color="auto"/>
            <w:right w:val="none" w:sz="0" w:space="0" w:color="auto"/>
          </w:divBdr>
        </w:div>
        <w:div w:id="532812266">
          <w:marLeft w:val="0"/>
          <w:marRight w:val="0"/>
          <w:marTop w:val="0"/>
          <w:marBottom w:val="0"/>
          <w:divBdr>
            <w:top w:val="none" w:sz="0" w:space="0" w:color="auto"/>
            <w:left w:val="none" w:sz="0" w:space="0" w:color="auto"/>
            <w:bottom w:val="none" w:sz="0" w:space="0" w:color="auto"/>
            <w:right w:val="none" w:sz="0" w:space="0" w:color="auto"/>
          </w:divBdr>
        </w:div>
        <w:div w:id="1412971745">
          <w:marLeft w:val="0"/>
          <w:marRight w:val="0"/>
          <w:marTop w:val="0"/>
          <w:marBottom w:val="0"/>
          <w:divBdr>
            <w:top w:val="none" w:sz="0" w:space="0" w:color="auto"/>
            <w:left w:val="none" w:sz="0" w:space="0" w:color="auto"/>
            <w:bottom w:val="none" w:sz="0" w:space="0" w:color="auto"/>
            <w:right w:val="none" w:sz="0" w:space="0" w:color="auto"/>
          </w:divBdr>
        </w:div>
        <w:div w:id="1703282212">
          <w:marLeft w:val="0"/>
          <w:marRight w:val="0"/>
          <w:marTop w:val="0"/>
          <w:marBottom w:val="0"/>
          <w:divBdr>
            <w:top w:val="none" w:sz="0" w:space="0" w:color="auto"/>
            <w:left w:val="none" w:sz="0" w:space="0" w:color="auto"/>
            <w:bottom w:val="none" w:sz="0" w:space="0" w:color="auto"/>
            <w:right w:val="none" w:sz="0" w:space="0" w:color="auto"/>
          </w:divBdr>
        </w:div>
        <w:div w:id="1559631021">
          <w:marLeft w:val="0"/>
          <w:marRight w:val="0"/>
          <w:marTop w:val="0"/>
          <w:marBottom w:val="0"/>
          <w:divBdr>
            <w:top w:val="none" w:sz="0" w:space="0" w:color="auto"/>
            <w:left w:val="none" w:sz="0" w:space="0" w:color="auto"/>
            <w:bottom w:val="none" w:sz="0" w:space="0" w:color="auto"/>
            <w:right w:val="none" w:sz="0" w:space="0" w:color="auto"/>
          </w:divBdr>
        </w:div>
      </w:divsChild>
    </w:div>
    <w:div w:id="1334601423">
      <w:bodyDiv w:val="1"/>
      <w:marLeft w:val="0"/>
      <w:marRight w:val="0"/>
      <w:marTop w:val="0"/>
      <w:marBottom w:val="0"/>
      <w:divBdr>
        <w:top w:val="none" w:sz="0" w:space="0" w:color="auto"/>
        <w:left w:val="none" w:sz="0" w:space="0" w:color="auto"/>
        <w:bottom w:val="none" w:sz="0" w:space="0" w:color="auto"/>
        <w:right w:val="none" w:sz="0" w:space="0" w:color="auto"/>
      </w:divBdr>
    </w:div>
    <w:div w:id="1338918235">
      <w:bodyDiv w:val="1"/>
      <w:marLeft w:val="0"/>
      <w:marRight w:val="0"/>
      <w:marTop w:val="0"/>
      <w:marBottom w:val="0"/>
      <w:divBdr>
        <w:top w:val="none" w:sz="0" w:space="0" w:color="auto"/>
        <w:left w:val="none" w:sz="0" w:space="0" w:color="auto"/>
        <w:bottom w:val="none" w:sz="0" w:space="0" w:color="auto"/>
        <w:right w:val="none" w:sz="0" w:space="0" w:color="auto"/>
      </w:divBdr>
    </w:div>
    <w:div w:id="1347706988">
      <w:bodyDiv w:val="1"/>
      <w:marLeft w:val="0"/>
      <w:marRight w:val="0"/>
      <w:marTop w:val="0"/>
      <w:marBottom w:val="0"/>
      <w:divBdr>
        <w:top w:val="none" w:sz="0" w:space="0" w:color="auto"/>
        <w:left w:val="none" w:sz="0" w:space="0" w:color="auto"/>
        <w:bottom w:val="none" w:sz="0" w:space="0" w:color="auto"/>
        <w:right w:val="none" w:sz="0" w:space="0" w:color="auto"/>
      </w:divBdr>
    </w:div>
    <w:div w:id="1350643763">
      <w:bodyDiv w:val="1"/>
      <w:marLeft w:val="0"/>
      <w:marRight w:val="0"/>
      <w:marTop w:val="0"/>
      <w:marBottom w:val="0"/>
      <w:divBdr>
        <w:top w:val="none" w:sz="0" w:space="0" w:color="auto"/>
        <w:left w:val="none" w:sz="0" w:space="0" w:color="auto"/>
        <w:bottom w:val="none" w:sz="0" w:space="0" w:color="auto"/>
        <w:right w:val="none" w:sz="0" w:space="0" w:color="auto"/>
      </w:divBdr>
      <w:divsChild>
        <w:div w:id="731197727">
          <w:marLeft w:val="0"/>
          <w:marRight w:val="0"/>
          <w:marTop w:val="0"/>
          <w:marBottom w:val="0"/>
          <w:divBdr>
            <w:top w:val="none" w:sz="0" w:space="0" w:color="auto"/>
            <w:left w:val="none" w:sz="0" w:space="0" w:color="auto"/>
            <w:bottom w:val="none" w:sz="0" w:space="0" w:color="auto"/>
            <w:right w:val="none" w:sz="0" w:space="0" w:color="auto"/>
          </w:divBdr>
        </w:div>
        <w:div w:id="54470958">
          <w:marLeft w:val="0"/>
          <w:marRight w:val="0"/>
          <w:marTop w:val="0"/>
          <w:marBottom w:val="0"/>
          <w:divBdr>
            <w:top w:val="none" w:sz="0" w:space="0" w:color="auto"/>
            <w:left w:val="none" w:sz="0" w:space="0" w:color="auto"/>
            <w:bottom w:val="none" w:sz="0" w:space="0" w:color="auto"/>
            <w:right w:val="none" w:sz="0" w:space="0" w:color="auto"/>
          </w:divBdr>
        </w:div>
      </w:divsChild>
    </w:div>
    <w:div w:id="1361970761">
      <w:bodyDiv w:val="1"/>
      <w:marLeft w:val="0"/>
      <w:marRight w:val="0"/>
      <w:marTop w:val="0"/>
      <w:marBottom w:val="0"/>
      <w:divBdr>
        <w:top w:val="none" w:sz="0" w:space="0" w:color="auto"/>
        <w:left w:val="none" w:sz="0" w:space="0" w:color="auto"/>
        <w:bottom w:val="none" w:sz="0" w:space="0" w:color="auto"/>
        <w:right w:val="none" w:sz="0" w:space="0" w:color="auto"/>
      </w:divBdr>
    </w:div>
    <w:div w:id="1466586981">
      <w:bodyDiv w:val="1"/>
      <w:marLeft w:val="0"/>
      <w:marRight w:val="0"/>
      <w:marTop w:val="0"/>
      <w:marBottom w:val="0"/>
      <w:divBdr>
        <w:top w:val="none" w:sz="0" w:space="0" w:color="auto"/>
        <w:left w:val="none" w:sz="0" w:space="0" w:color="auto"/>
        <w:bottom w:val="none" w:sz="0" w:space="0" w:color="auto"/>
        <w:right w:val="none" w:sz="0" w:space="0" w:color="auto"/>
      </w:divBdr>
    </w:div>
    <w:div w:id="1499425229">
      <w:bodyDiv w:val="1"/>
      <w:marLeft w:val="0"/>
      <w:marRight w:val="0"/>
      <w:marTop w:val="0"/>
      <w:marBottom w:val="0"/>
      <w:divBdr>
        <w:top w:val="none" w:sz="0" w:space="0" w:color="auto"/>
        <w:left w:val="none" w:sz="0" w:space="0" w:color="auto"/>
        <w:bottom w:val="none" w:sz="0" w:space="0" w:color="auto"/>
        <w:right w:val="none" w:sz="0" w:space="0" w:color="auto"/>
      </w:divBdr>
      <w:divsChild>
        <w:div w:id="2131507466">
          <w:marLeft w:val="0"/>
          <w:marRight w:val="0"/>
          <w:marTop w:val="0"/>
          <w:marBottom w:val="0"/>
          <w:divBdr>
            <w:top w:val="none" w:sz="0" w:space="0" w:color="auto"/>
            <w:left w:val="none" w:sz="0" w:space="0" w:color="auto"/>
            <w:bottom w:val="none" w:sz="0" w:space="0" w:color="auto"/>
            <w:right w:val="none" w:sz="0" w:space="0" w:color="auto"/>
          </w:divBdr>
          <w:divsChild>
            <w:div w:id="1069034749">
              <w:marLeft w:val="0"/>
              <w:marRight w:val="0"/>
              <w:marTop w:val="0"/>
              <w:marBottom w:val="0"/>
              <w:divBdr>
                <w:top w:val="none" w:sz="0" w:space="0" w:color="auto"/>
                <w:left w:val="none" w:sz="0" w:space="0" w:color="auto"/>
                <w:bottom w:val="none" w:sz="0" w:space="0" w:color="auto"/>
                <w:right w:val="none" w:sz="0" w:space="0" w:color="auto"/>
              </w:divBdr>
              <w:divsChild>
                <w:div w:id="2003193353">
                  <w:marLeft w:val="0"/>
                  <w:marRight w:val="0"/>
                  <w:marTop w:val="0"/>
                  <w:marBottom w:val="0"/>
                  <w:divBdr>
                    <w:top w:val="none" w:sz="0" w:space="0" w:color="auto"/>
                    <w:left w:val="none" w:sz="0" w:space="0" w:color="auto"/>
                    <w:bottom w:val="none" w:sz="0" w:space="0" w:color="auto"/>
                    <w:right w:val="none" w:sz="0" w:space="0" w:color="auto"/>
                  </w:divBdr>
                  <w:divsChild>
                    <w:div w:id="614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07423">
      <w:bodyDiv w:val="1"/>
      <w:marLeft w:val="0"/>
      <w:marRight w:val="0"/>
      <w:marTop w:val="0"/>
      <w:marBottom w:val="0"/>
      <w:divBdr>
        <w:top w:val="none" w:sz="0" w:space="0" w:color="auto"/>
        <w:left w:val="none" w:sz="0" w:space="0" w:color="auto"/>
        <w:bottom w:val="none" w:sz="0" w:space="0" w:color="auto"/>
        <w:right w:val="none" w:sz="0" w:space="0" w:color="auto"/>
      </w:divBdr>
    </w:div>
    <w:div w:id="1514224000">
      <w:bodyDiv w:val="1"/>
      <w:marLeft w:val="0"/>
      <w:marRight w:val="0"/>
      <w:marTop w:val="0"/>
      <w:marBottom w:val="0"/>
      <w:divBdr>
        <w:top w:val="none" w:sz="0" w:space="0" w:color="auto"/>
        <w:left w:val="none" w:sz="0" w:space="0" w:color="auto"/>
        <w:bottom w:val="none" w:sz="0" w:space="0" w:color="auto"/>
        <w:right w:val="none" w:sz="0" w:space="0" w:color="auto"/>
      </w:divBdr>
      <w:divsChild>
        <w:div w:id="891381993">
          <w:marLeft w:val="0"/>
          <w:marRight w:val="0"/>
          <w:marTop w:val="0"/>
          <w:marBottom w:val="0"/>
          <w:divBdr>
            <w:top w:val="none" w:sz="0" w:space="0" w:color="auto"/>
            <w:left w:val="none" w:sz="0" w:space="0" w:color="auto"/>
            <w:bottom w:val="none" w:sz="0" w:space="0" w:color="auto"/>
            <w:right w:val="none" w:sz="0" w:space="0" w:color="auto"/>
          </w:divBdr>
          <w:divsChild>
            <w:div w:id="1520697542">
              <w:marLeft w:val="0"/>
              <w:marRight w:val="0"/>
              <w:marTop w:val="0"/>
              <w:marBottom w:val="0"/>
              <w:divBdr>
                <w:top w:val="none" w:sz="0" w:space="0" w:color="auto"/>
                <w:left w:val="none" w:sz="0" w:space="0" w:color="auto"/>
                <w:bottom w:val="none" w:sz="0" w:space="0" w:color="auto"/>
                <w:right w:val="none" w:sz="0" w:space="0" w:color="auto"/>
              </w:divBdr>
              <w:divsChild>
                <w:div w:id="422608203">
                  <w:marLeft w:val="0"/>
                  <w:marRight w:val="0"/>
                  <w:marTop w:val="0"/>
                  <w:marBottom w:val="0"/>
                  <w:divBdr>
                    <w:top w:val="none" w:sz="0" w:space="0" w:color="auto"/>
                    <w:left w:val="none" w:sz="0" w:space="0" w:color="auto"/>
                    <w:bottom w:val="none" w:sz="0" w:space="0" w:color="auto"/>
                    <w:right w:val="none" w:sz="0" w:space="0" w:color="auto"/>
                  </w:divBdr>
                  <w:divsChild>
                    <w:div w:id="2185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20895">
      <w:bodyDiv w:val="1"/>
      <w:marLeft w:val="0"/>
      <w:marRight w:val="0"/>
      <w:marTop w:val="0"/>
      <w:marBottom w:val="0"/>
      <w:divBdr>
        <w:top w:val="none" w:sz="0" w:space="0" w:color="auto"/>
        <w:left w:val="none" w:sz="0" w:space="0" w:color="auto"/>
        <w:bottom w:val="none" w:sz="0" w:space="0" w:color="auto"/>
        <w:right w:val="none" w:sz="0" w:space="0" w:color="auto"/>
      </w:divBdr>
    </w:div>
    <w:div w:id="1589772677">
      <w:bodyDiv w:val="1"/>
      <w:marLeft w:val="0"/>
      <w:marRight w:val="0"/>
      <w:marTop w:val="0"/>
      <w:marBottom w:val="0"/>
      <w:divBdr>
        <w:top w:val="none" w:sz="0" w:space="0" w:color="auto"/>
        <w:left w:val="none" w:sz="0" w:space="0" w:color="auto"/>
        <w:bottom w:val="none" w:sz="0" w:space="0" w:color="auto"/>
        <w:right w:val="none" w:sz="0" w:space="0" w:color="auto"/>
      </w:divBdr>
    </w:div>
    <w:div w:id="1598446212">
      <w:bodyDiv w:val="1"/>
      <w:marLeft w:val="0"/>
      <w:marRight w:val="0"/>
      <w:marTop w:val="0"/>
      <w:marBottom w:val="0"/>
      <w:divBdr>
        <w:top w:val="none" w:sz="0" w:space="0" w:color="auto"/>
        <w:left w:val="none" w:sz="0" w:space="0" w:color="auto"/>
        <w:bottom w:val="none" w:sz="0" w:space="0" w:color="auto"/>
        <w:right w:val="none" w:sz="0" w:space="0" w:color="auto"/>
      </w:divBdr>
    </w:div>
    <w:div w:id="1618756285">
      <w:bodyDiv w:val="1"/>
      <w:marLeft w:val="0"/>
      <w:marRight w:val="0"/>
      <w:marTop w:val="0"/>
      <w:marBottom w:val="0"/>
      <w:divBdr>
        <w:top w:val="none" w:sz="0" w:space="0" w:color="auto"/>
        <w:left w:val="none" w:sz="0" w:space="0" w:color="auto"/>
        <w:bottom w:val="none" w:sz="0" w:space="0" w:color="auto"/>
        <w:right w:val="none" w:sz="0" w:space="0" w:color="auto"/>
      </w:divBdr>
      <w:divsChild>
        <w:div w:id="388921639">
          <w:marLeft w:val="0"/>
          <w:marRight w:val="0"/>
          <w:marTop w:val="0"/>
          <w:marBottom w:val="0"/>
          <w:divBdr>
            <w:top w:val="none" w:sz="0" w:space="0" w:color="auto"/>
            <w:left w:val="none" w:sz="0" w:space="0" w:color="auto"/>
            <w:bottom w:val="none" w:sz="0" w:space="0" w:color="auto"/>
            <w:right w:val="none" w:sz="0" w:space="0" w:color="auto"/>
          </w:divBdr>
        </w:div>
        <w:div w:id="141626314">
          <w:marLeft w:val="0"/>
          <w:marRight w:val="0"/>
          <w:marTop w:val="0"/>
          <w:marBottom w:val="0"/>
          <w:divBdr>
            <w:top w:val="none" w:sz="0" w:space="0" w:color="auto"/>
            <w:left w:val="none" w:sz="0" w:space="0" w:color="auto"/>
            <w:bottom w:val="none" w:sz="0" w:space="0" w:color="auto"/>
            <w:right w:val="none" w:sz="0" w:space="0" w:color="auto"/>
          </w:divBdr>
        </w:div>
        <w:div w:id="1019887776">
          <w:marLeft w:val="0"/>
          <w:marRight w:val="0"/>
          <w:marTop w:val="0"/>
          <w:marBottom w:val="0"/>
          <w:divBdr>
            <w:top w:val="none" w:sz="0" w:space="0" w:color="auto"/>
            <w:left w:val="none" w:sz="0" w:space="0" w:color="auto"/>
            <w:bottom w:val="none" w:sz="0" w:space="0" w:color="auto"/>
            <w:right w:val="none" w:sz="0" w:space="0" w:color="auto"/>
          </w:divBdr>
        </w:div>
        <w:div w:id="1224290297">
          <w:marLeft w:val="0"/>
          <w:marRight w:val="0"/>
          <w:marTop w:val="0"/>
          <w:marBottom w:val="0"/>
          <w:divBdr>
            <w:top w:val="none" w:sz="0" w:space="0" w:color="auto"/>
            <w:left w:val="none" w:sz="0" w:space="0" w:color="auto"/>
            <w:bottom w:val="none" w:sz="0" w:space="0" w:color="auto"/>
            <w:right w:val="none" w:sz="0" w:space="0" w:color="auto"/>
          </w:divBdr>
        </w:div>
        <w:div w:id="114300819">
          <w:marLeft w:val="0"/>
          <w:marRight w:val="0"/>
          <w:marTop w:val="0"/>
          <w:marBottom w:val="0"/>
          <w:divBdr>
            <w:top w:val="none" w:sz="0" w:space="0" w:color="auto"/>
            <w:left w:val="none" w:sz="0" w:space="0" w:color="auto"/>
            <w:bottom w:val="none" w:sz="0" w:space="0" w:color="auto"/>
            <w:right w:val="none" w:sz="0" w:space="0" w:color="auto"/>
          </w:divBdr>
        </w:div>
        <w:div w:id="1589191672">
          <w:marLeft w:val="0"/>
          <w:marRight w:val="0"/>
          <w:marTop w:val="0"/>
          <w:marBottom w:val="0"/>
          <w:divBdr>
            <w:top w:val="none" w:sz="0" w:space="0" w:color="auto"/>
            <w:left w:val="none" w:sz="0" w:space="0" w:color="auto"/>
            <w:bottom w:val="none" w:sz="0" w:space="0" w:color="auto"/>
            <w:right w:val="none" w:sz="0" w:space="0" w:color="auto"/>
          </w:divBdr>
        </w:div>
        <w:div w:id="1771513033">
          <w:marLeft w:val="0"/>
          <w:marRight w:val="0"/>
          <w:marTop w:val="0"/>
          <w:marBottom w:val="0"/>
          <w:divBdr>
            <w:top w:val="none" w:sz="0" w:space="0" w:color="auto"/>
            <w:left w:val="none" w:sz="0" w:space="0" w:color="auto"/>
            <w:bottom w:val="none" w:sz="0" w:space="0" w:color="auto"/>
            <w:right w:val="none" w:sz="0" w:space="0" w:color="auto"/>
          </w:divBdr>
        </w:div>
        <w:div w:id="1413815058">
          <w:marLeft w:val="0"/>
          <w:marRight w:val="0"/>
          <w:marTop w:val="0"/>
          <w:marBottom w:val="0"/>
          <w:divBdr>
            <w:top w:val="none" w:sz="0" w:space="0" w:color="auto"/>
            <w:left w:val="none" w:sz="0" w:space="0" w:color="auto"/>
            <w:bottom w:val="none" w:sz="0" w:space="0" w:color="auto"/>
            <w:right w:val="none" w:sz="0" w:space="0" w:color="auto"/>
          </w:divBdr>
        </w:div>
        <w:div w:id="267810201">
          <w:marLeft w:val="0"/>
          <w:marRight w:val="0"/>
          <w:marTop w:val="0"/>
          <w:marBottom w:val="0"/>
          <w:divBdr>
            <w:top w:val="none" w:sz="0" w:space="0" w:color="auto"/>
            <w:left w:val="none" w:sz="0" w:space="0" w:color="auto"/>
            <w:bottom w:val="none" w:sz="0" w:space="0" w:color="auto"/>
            <w:right w:val="none" w:sz="0" w:space="0" w:color="auto"/>
          </w:divBdr>
        </w:div>
        <w:div w:id="111902301">
          <w:marLeft w:val="0"/>
          <w:marRight w:val="0"/>
          <w:marTop w:val="0"/>
          <w:marBottom w:val="0"/>
          <w:divBdr>
            <w:top w:val="none" w:sz="0" w:space="0" w:color="auto"/>
            <w:left w:val="none" w:sz="0" w:space="0" w:color="auto"/>
            <w:bottom w:val="none" w:sz="0" w:space="0" w:color="auto"/>
            <w:right w:val="none" w:sz="0" w:space="0" w:color="auto"/>
          </w:divBdr>
        </w:div>
        <w:div w:id="1397900409">
          <w:marLeft w:val="0"/>
          <w:marRight w:val="0"/>
          <w:marTop w:val="0"/>
          <w:marBottom w:val="0"/>
          <w:divBdr>
            <w:top w:val="none" w:sz="0" w:space="0" w:color="auto"/>
            <w:left w:val="none" w:sz="0" w:space="0" w:color="auto"/>
            <w:bottom w:val="none" w:sz="0" w:space="0" w:color="auto"/>
            <w:right w:val="none" w:sz="0" w:space="0" w:color="auto"/>
          </w:divBdr>
        </w:div>
        <w:div w:id="42871247">
          <w:marLeft w:val="0"/>
          <w:marRight w:val="0"/>
          <w:marTop w:val="0"/>
          <w:marBottom w:val="0"/>
          <w:divBdr>
            <w:top w:val="none" w:sz="0" w:space="0" w:color="auto"/>
            <w:left w:val="none" w:sz="0" w:space="0" w:color="auto"/>
            <w:bottom w:val="none" w:sz="0" w:space="0" w:color="auto"/>
            <w:right w:val="none" w:sz="0" w:space="0" w:color="auto"/>
          </w:divBdr>
        </w:div>
        <w:div w:id="1897233471">
          <w:marLeft w:val="0"/>
          <w:marRight w:val="0"/>
          <w:marTop w:val="0"/>
          <w:marBottom w:val="0"/>
          <w:divBdr>
            <w:top w:val="none" w:sz="0" w:space="0" w:color="auto"/>
            <w:left w:val="none" w:sz="0" w:space="0" w:color="auto"/>
            <w:bottom w:val="none" w:sz="0" w:space="0" w:color="auto"/>
            <w:right w:val="none" w:sz="0" w:space="0" w:color="auto"/>
          </w:divBdr>
        </w:div>
        <w:div w:id="592396588">
          <w:marLeft w:val="0"/>
          <w:marRight w:val="0"/>
          <w:marTop w:val="0"/>
          <w:marBottom w:val="0"/>
          <w:divBdr>
            <w:top w:val="none" w:sz="0" w:space="0" w:color="auto"/>
            <w:left w:val="none" w:sz="0" w:space="0" w:color="auto"/>
            <w:bottom w:val="none" w:sz="0" w:space="0" w:color="auto"/>
            <w:right w:val="none" w:sz="0" w:space="0" w:color="auto"/>
          </w:divBdr>
        </w:div>
        <w:div w:id="1434128125">
          <w:marLeft w:val="0"/>
          <w:marRight w:val="0"/>
          <w:marTop w:val="0"/>
          <w:marBottom w:val="0"/>
          <w:divBdr>
            <w:top w:val="none" w:sz="0" w:space="0" w:color="auto"/>
            <w:left w:val="none" w:sz="0" w:space="0" w:color="auto"/>
            <w:bottom w:val="none" w:sz="0" w:space="0" w:color="auto"/>
            <w:right w:val="none" w:sz="0" w:space="0" w:color="auto"/>
          </w:divBdr>
        </w:div>
        <w:div w:id="496922470">
          <w:marLeft w:val="0"/>
          <w:marRight w:val="0"/>
          <w:marTop w:val="0"/>
          <w:marBottom w:val="0"/>
          <w:divBdr>
            <w:top w:val="none" w:sz="0" w:space="0" w:color="auto"/>
            <w:left w:val="none" w:sz="0" w:space="0" w:color="auto"/>
            <w:bottom w:val="none" w:sz="0" w:space="0" w:color="auto"/>
            <w:right w:val="none" w:sz="0" w:space="0" w:color="auto"/>
          </w:divBdr>
        </w:div>
        <w:div w:id="1222860490">
          <w:marLeft w:val="0"/>
          <w:marRight w:val="0"/>
          <w:marTop w:val="0"/>
          <w:marBottom w:val="0"/>
          <w:divBdr>
            <w:top w:val="none" w:sz="0" w:space="0" w:color="auto"/>
            <w:left w:val="none" w:sz="0" w:space="0" w:color="auto"/>
            <w:bottom w:val="none" w:sz="0" w:space="0" w:color="auto"/>
            <w:right w:val="none" w:sz="0" w:space="0" w:color="auto"/>
          </w:divBdr>
        </w:div>
        <w:div w:id="404379810">
          <w:marLeft w:val="0"/>
          <w:marRight w:val="0"/>
          <w:marTop w:val="0"/>
          <w:marBottom w:val="0"/>
          <w:divBdr>
            <w:top w:val="none" w:sz="0" w:space="0" w:color="auto"/>
            <w:left w:val="none" w:sz="0" w:space="0" w:color="auto"/>
            <w:bottom w:val="none" w:sz="0" w:space="0" w:color="auto"/>
            <w:right w:val="none" w:sz="0" w:space="0" w:color="auto"/>
          </w:divBdr>
        </w:div>
        <w:div w:id="1904171007">
          <w:marLeft w:val="0"/>
          <w:marRight w:val="0"/>
          <w:marTop w:val="0"/>
          <w:marBottom w:val="0"/>
          <w:divBdr>
            <w:top w:val="none" w:sz="0" w:space="0" w:color="auto"/>
            <w:left w:val="none" w:sz="0" w:space="0" w:color="auto"/>
            <w:bottom w:val="none" w:sz="0" w:space="0" w:color="auto"/>
            <w:right w:val="none" w:sz="0" w:space="0" w:color="auto"/>
          </w:divBdr>
        </w:div>
        <w:div w:id="116878324">
          <w:marLeft w:val="0"/>
          <w:marRight w:val="0"/>
          <w:marTop w:val="0"/>
          <w:marBottom w:val="0"/>
          <w:divBdr>
            <w:top w:val="none" w:sz="0" w:space="0" w:color="auto"/>
            <w:left w:val="none" w:sz="0" w:space="0" w:color="auto"/>
            <w:bottom w:val="none" w:sz="0" w:space="0" w:color="auto"/>
            <w:right w:val="none" w:sz="0" w:space="0" w:color="auto"/>
          </w:divBdr>
        </w:div>
        <w:div w:id="140732497">
          <w:marLeft w:val="0"/>
          <w:marRight w:val="0"/>
          <w:marTop w:val="0"/>
          <w:marBottom w:val="0"/>
          <w:divBdr>
            <w:top w:val="none" w:sz="0" w:space="0" w:color="auto"/>
            <w:left w:val="none" w:sz="0" w:space="0" w:color="auto"/>
            <w:bottom w:val="none" w:sz="0" w:space="0" w:color="auto"/>
            <w:right w:val="none" w:sz="0" w:space="0" w:color="auto"/>
          </w:divBdr>
        </w:div>
        <w:div w:id="438108820">
          <w:marLeft w:val="0"/>
          <w:marRight w:val="0"/>
          <w:marTop w:val="0"/>
          <w:marBottom w:val="0"/>
          <w:divBdr>
            <w:top w:val="none" w:sz="0" w:space="0" w:color="auto"/>
            <w:left w:val="none" w:sz="0" w:space="0" w:color="auto"/>
            <w:bottom w:val="none" w:sz="0" w:space="0" w:color="auto"/>
            <w:right w:val="none" w:sz="0" w:space="0" w:color="auto"/>
          </w:divBdr>
        </w:div>
      </w:divsChild>
    </w:div>
    <w:div w:id="1637442862">
      <w:bodyDiv w:val="1"/>
      <w:marLeft w:val="0"/>
      <w:marRight w:val="0"/>
      <w:marTop w:val="0"/>
      <w:marBottom w:val="0"/>
      <w:divBdr>
        <w:top w:val="none" w:sz="0" w:space="0" w:color="auto"/>
        <w:left w:val="none" w:sz="0" w:space="0" w:color="auto"/>
        <w:bottom w:val="none" w:sz="0" w:space="0" w:color="auto"/>
        <w:right w:val="none" w:sz="0" w:space="0" w:color="auto"/>
      </w:divBdr>
      <w:divsChild>
        <w:div w:id="840007558">
          <w:marLeft w:val="0"/>
          <w:marRight w:val="0"/>
          <w:marTop w:val="0"/>
          <w:marBottom w:val="0"/>
          <w:divBdr>
            <w:top w:val="none" w:sz="0" w:space="0" w:color="auto"/>
            <w:left w:val="none" w:sz="0" w:space="0" w:color="auto"/>
            <w:bottom w:val="none" w:sz="0" w:space="0" w:color="auto"/>
            <w:right w:val="none" w:sz="0" w:space="0" w:color="auto"/>
          </w:divBdr>
          <w:divsChild>
            <w:div w:id="907880579">
              <w:marLeft w:val="0"/>
              <w:marRight w:val="0"/>
              <w:marTop w:val="0"/>
              <w:marBottom w:val="0"/>
              <w:divBdr>
                <w:top w:val="none" w:sz="0" w:space="0" w:color="auto"/>
                <w:left w:val="none" w:sz="0" w:space="0" w:color="auto"/>
                <w:bottom w:val="none" w:sz="0" w:space="0" w:color="auto"/>
                <w:right w:val="none" w:sz="0" w:space="0" w:color="auto"/>
              </w:divBdr>
              <w:divsChild>
                <w:div w:id="20223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75366">
      <w:bodyDiv w:val="1"/>
      <w:marLeft w:val="0"/>
      <w:marRight w:val="0"/>
      <w:marTop w:val="0"/>
      <w:marBottom w:val="0"/>
      <w:divBdr>
        <w:top w:val="none" w:sz="0" w:space="0" w:color="auto"/>
        <w:left w:val="none" w:sz="0" w:space="0" w:color="auto"/>
        <w:bottom w:val="none" w:sz="0" w:space="0" w:color="auto"/>
        <w:right w:val="none" w:sz="0" w:space="0" w:color="auto"/>
      </w:divBdr>
      <w:divsChild>
        <w:div w:id="1712535990">
          <w:marLeft w:val="547"/>
          <w:marRight w:val="0"/>
          <w:marTop w:val="0"/>
          <w:marBottom w:val="0"/>
          <w:divBdr>
            <w:top w:val="none" w:sz="0" w:space="0" w:color="auto"/>
            <w:left w:val="none" w:sz="0" w:space="0" w:color="auto"/>
            <w:bottom w:val="none" w:sz="0" w:space="0" w:color="auto"/>
            <w:right w:val="none" w:sz="0" w:space="0" w:color="auto"/>
          </w:divBdr>
        </w:div>
        <w:div w:id="2137604827">
          <w:marLeft w:val="547"/>
          <w:marRight w:val="0"/>
          <w:marTop w:val="0"/>
          <w:marBottom w:val="0"/>
          <w:divBdr>
            <w:top w:val="none" w:sz="0" w:space="0" w:color="auto"/>
            <w:left w:val="none" w:sz="0" w:space="0" w:color="auto"/>
            <w:bottom w:val="none" w:sz="0" w:space="0" w:color="auto"/>
            <w:right w:val="none" w:sz="0" w:space="0" w:color="auto"/>
          </w:divBdr>
        </w:div>
      </w:divsChild>
    </w:div>
    <w:div w:id="1646160559">
      <w:bodyDiv w:val="1"/>
      <w:marLeft w:val="0"/>
      <w:marRight w:val="0"/>
      <w:marTop w:val="0"/>
      <w:marBottom w:val="0"/>
      <w:divBdr>
        <w:top w:val="none" w:sz="0" w:space="0" w:color="auto"/>
        <w:left w:val="none" w:sz="0" w:space="0" w:color="auto"/>
        <w:bottom w:val="none" w:sz="0" w:space="0" w:color="auto"/>
        <w:right w:val="none" w:sz="0" w:space="0" w:color="auto"/>
      </w:divBdr>
      <w:divsChild>
        <w:div w:id="1453592288">
          <w:marLeft w:val="0"/>
          <w:marRight w:val="0"/>
          <w:marTop w:val="0"/>
          <w:marBottom w:val="0"/>
          <w:divBdr>
            <w:top w:val="none" w:sz="0" w:space="0" w:color="auto"/>
            <w:left w:val="none" w:sz="0" w:space="0" w:color="auto"/>
            <w:bottom w:val="none" w:sz="0" w:space="0" w:color="auto"/>
            <w:right w:val="none" w:sz="0" w:space="0" w:color="auto"/>
          </w:divBdr>
        </w:div>
        <w:div w:id="764301018">
          <w:marLeft w:val="0"/>
          <w:marRight w:val="0"/>
          <w:marTop w:val="0"/>
          <w:marBottom w:val="0"/>
          <w:divBdr>
            <w:top w:val="none" w:sz="0" w:space="0" w:color="auto"/>
            <w:left w:val="none" w:sz="0" w:space="0" w:color="auto"/>
            <w:bottom w:val="none" w:sz="0" w:space="0" w:color="auto"/>
            <w:right w:val="none" w:sz="0" w:space="0" w:color="auto"/>
          </w:divBdr>
        </w:div>
        <w:div w:id="548763452">
          <w:marLeft w:val="0"/>
          <w:marRight w:val="0"/>
          <w:marTop w:val="0"/>
          <w:marBottom w:val="0"/>
          <w:divBdr>
            <w:top w:val="none" w:sz="0" w:space="0" w:color="auto"/>
            <w:left w:val="none" w:sz="0" w:space="0" w:color="auto"/>
            <w:bottom w:val="none" w:sz="0" w:space="0" w:color="auto"/>
            <w:right w:val="none" w:sz="0" w:space="0" w:color="auto"/>
          </w:divBdr>
        </w:div>
      </w:divsChild>
    </w:div>
    <w:div w:id="1659721427">
      <w:bodyDiv w:val="1"/>
      <w:marLeft w:val="0"/>
      <w:marRight w:val="0"/>
      <w:marTop w:val="0"/>
      <w:marBottom w:val="0"/>
      <w:divBdr>
        <w:top w:val="none" w:sz="0" w:space="0" w:color="auto"/>
        <w:left w:val="none" w:sz="0" w:space="0" w:color="auto"/>
        <w:bottom w:val="none" w:sz="0" w:space="0" w:color="auto"/>
        <w:right w:val="none" w:sz="0" w:space="0" w:color="auto"/>
      </w:divBdr>
    </w:div>
    <w:div w:id="1665359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2378">
          <w:marLeft w:val="0"/>
          <w:marRight w:val="0"/>
          <w:marTop w:val="0"/>
          <w:marBottom w:val="0"/>
          <w:divBdr>
            <w:top w:val="none" w:sz="0" w:space="0" w:color="auto"/>
            <w:left w:val="none" w:sz="0" w:space="0" w:color="auto"/>
            <w:bottom w:val="none" w:sz="0" w:space="0" w:color="auto"/>
            <w:right w:val="none" w:sz="0" w:space="0" w:color="auto"/>
          </w:divBdr>
        </w:div>
        <w:div w:id="333266762">
          <w:marLeft w:val="0"/>
          <w:marRight w:val="0"/>
          <w:marTop w:val="0"/>
          <w:marBottom w:val="0"/>
          <w:divBdr>
            <w:top w:val="none" w:sz="0" w:space="0" w:color="auto"/>
            <w:left w:val="none" w:sz="0" w:space="0" w:color="auto"/>
            <w:bottom w:val="none" w:sz="0" w:space="0" w:color="auto"/>
            <w:right w:val="none" w:sz="0" w:space="0" w:color="auto"/>
          </w:divBdr>
        </w:div>
        <w:div w:id="55131942">
          <w:marLeft w:val="0"/>
          <w:marRight w:val="0"/>
          <w:marTop w:val="0"/>
          <w:marBottom w:val="0"/>
          <w:divBdr>
            <w:top w:val="none" w:sz="0" w:space="0" w:color="auto"/>
            <w:left w:val="none" w:sz="0" w:space="0" w:color="auto"/>
            <w:bottom w:val="none" w:sz="0" w:space="0" w:color="auto"/>
            <w:right w:val="none" w:sz="0" w:space="0" w:color="auto"/>
          </w:divBdr>
        </w:div>
        <w:div w:id="560869627">
          <w:marLeft w:val="0"/>
          <w:marRight w:val="0"/>
          <w:marTop w:val="0"/>
          <w:marBottom w:val="0"/>
          <w:divBdr>
            <w:top w:val="none" w:sz="0" w:space="0" w:color="auto"/>
            <w:left w:val="none" w:sz="0" w:space="0" w:color="auto"/>
            <w:bottom w:val="none" w:sz="0" w:space="0" w:color="auto"/>
            <w:right w:val="none" w:sz="0" w:space="0" w:color="auto"/>
          </w:divBdr>
        </w:div>
        <w:div w:id="353310733">
          <w:marLeft w:val="0"/>
          <w:marRight w:val="0"/>
          <w:marTop w:val="0"/>
          <w:marBottom w:val="0"/>
          <w:divBdr>
            <w:top w:val="none" w:sz="0" w:space="0" w:color="auto"/>
            <w:left w:val="none" w:sz="0" w:space="0" w:color="auto"/>
            <w:bottom w:val="none" w:sz="0" w:space="0" w:color="auto"/>
            <w:right w:val="none" w:sz="0" w:space="0" w:color="auto"/>
          </w:divBdr>
        </w:div>
        <w:div w:id="1244145251">
          <w:marLeft w:val="0"/>
          <w:marRight w:val="0"/>
          <w:marTop w:val="0"/>
          <w:marBottom w:val="0"/>
          <w:divBdr>
            <w:top w:val="none" w:sz="0" w:space="0" w:color="auto"/>
            <w:left w:val="none" w:sz="0" w:space="0" w:color="auto"/>
            <w:bottom w:val="none" w:sz="0" w:space="0" w:color="auto"/>
            <w:right w:val="none" w:sz="0" w:space="0" w:color="auto"/>
          </w:divBdr>
        </w:div>
        <w:div w:id="893278771">
          <w:marLeft w:val="0"/>
          <w:marRight w:val="0"/>
          <w:marTop w:val="0"/>
          <w:marBottom w:val="0"/>
          <w:divBdr>
            <w:top w:val="none" w:sz="0" w:space="0" w:color="auto"/>
            <w:left w:val="none" w:sz="0" w:space="0" w:color="auto"/>
            <w:bottom w:val="none" w:sz="0" w:space="0" w:color="auto"/>
            <w:right w:val="none" w:sz="0" w:space="0" w:color="auto"/>
          </w:divBdr>
        </w:div>
        <w:div w:id="1973361909">
          <w:marLeft w:val="0"/>
          <w:marRight w:val="0"/>
          <w:marTop w:val="0"/>
          <w:marBottom w:val="0"/>
          <w:divBdr>
            <w:top w:val="none" w:sz="0" w:space="0" w:color="auto"/>
            <w:left w:val="none" w:sz="0" w:space="0" w:color="auto"/>
            <w:bottom w:val="none" w:sz="0" w:space="0" w:color="auto"/>
            <w:right w:val="none" w:sz="0" w:space="0" w:color="auto"/>
          </w:divBdr>
        </w:div>
      </w:divsChild>
    </w:div>
    <w:div w:id="1756170653">
      <w:bodyDiv w:val="1"/>
      <w:marLeft w:val="0"/>
      <w:marRight w:val="0"/>
      <w:marTop w:val="0"/>
      <w:marBottom w:val="0"/>
      <w:divBdr>
        <w:top w:val="none" w:sz="0" w:space="0" w:color="auto"/>
        <w:left w:val="none" w:sz="0" w:space="0" w:color="auto"/>
        <w:bottom w:val="none" w:sz="0" w:space="0" w:color="auto"/>
        <w:right w:val="none" w:sz="0" w:space="0" w:color="auto"/>
      </w:divBdr>
    </w:div>
    <w:div w:id="1767310004">
      <w:bodyDiv w:val="1"/>
      <w:marLeft w:val="0"/>
      <w:marRight w:val="0"/>
      <w:marTop w:val="0"/>
      <w:marBottom w:val="0"/>
      <w:divBdr>
        <w:top w:val="none" w:sz="0" w:space="0" w:color="auto"/>
        <w:left w:val="none" w:sz="0" w:space="0" w:color="auto"/>
        <w:bottom w:val="none" w:sz="0" w:space="0" w:color="auto"/>
        <w:right w:val="none" w:sz="0" w:space="0" w:color="auto"/>
      </w:divBdr>
      <w:divsChild>
        <w:div w:id="44257839">
          <w:marLeft w:val="0"/>
          <w:marRight w:val="0"/>
          <w:marTop w:val="0"/>
          <w:marBottom w:val="0"/>
          <w:divBdr>
            <w:top w:val="none" w:sz="0" w:space="0" w:color="auto"/>
            <w:left w:val="none" w:sz="0" w:space="0" w:color="auto"/>
            <w:bottom w:val="none" w:sz="0" w:space="0" w:color="auto"/>
            <w:right w:val="none" w:sz="0" w:space="0" w:color="auto"/>
          </w:divBdr>
          <w:divsChild>
            <w:div w:id="695959417">
              <w:marLeft w:val="0"/>
              <w:marRight w:val="0"/>
              <w:marTop w:val="0"/>
              <w:marBottom w:val="0"/>
              <w:divBdr>
                <w:top w:val="none" w:sz="0" w:space="0" w:color="auto"/>
                <w:left w:val="none" w:sz="0" w:space="0" w:color="auto"/>
                <w:bottom w:val="none" w:sz="0" w:space="0" w:color="auto"/>
                <w:right w:val="none" w:sz="0" w:space="0" w:color="auto"/>
              </w:divBdr>
              <w:divsChild>
                <w:div w:id="9019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856677">
      <w:bodyDiv w:val="1"/>
      <w:marLeft w:val="0"/>
      <w:marRight w:val="0"/>
      <w:marTop w:val="0"/>
      <w:marBottom w:val="0"/>
      <w:divBdr>
        <w:top w:val="none" w:sz="0" w:space="0" w:color="auto"/>
        <w:left w:val="none" w:sz="0" w:space="0" w:color="auto"/>
        <w:bottom w:val="none" w:sz="0" w:space="0" w:color="auto"/>
        <w:right w:val="none" w:sz="0" w:space="0" w:color="auto"/>
      </w:divBdr>
    </w:div>
    <w:div w:id="1827746377">
      <w:bodyDiv w:val="1"/>
      <w:marLeft w:val="0"/>
      <w:marRight w:val="0"/>
      <w:marTop w:val="0"/>
      <w:marBottom w:val="0"/>
      <w:divBdr>
        <w:top w:val="none" w:sz="0" w:space="0" w:color="auto"/>
        <w:left w:val="none" w:sz="0" w:space="0" w:color="auto"/>
        <w:bottom w:val="none" w:sz="0" w:space="0" w:color="auto"/>
        <w:right w:val="none" w:sz="0" w:space="0" w:color="auto"/>
      </w:divBdr>
    </w:div>
    <w:div w:id="1948730736">
      <w:bodyDiv w:val="1"/>
      <w:marLeft w:val="0"/>
      <w:marRight w:val="0"/>
      <w:marTop w:val="0"/>
      <w:marBottom w:val="0"/>
      <w:divBdr>
        <w:top w:val="none" w:sz="0" w:space="0" w:color="auto"/>
        <w:left w:val="none" w:sz="0" w:space="0" w:color="auto"/>
        <w:bottom w:val="none" w:sz="0" w:space="0" w:color="auto"/>
        <w:right w:val="none" w:sz="0" w:space="0" w:color="auto"/>
      </w:divBdr>
    </w:div>
    <w:div w:id="2021228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doi:https/dx.doi.org/10.1136/jfprhc-2016-101541"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doi:https/dx.doi.org/10.1071/SH20220" TargetMode="External"/><Relationship Id="rId2" Type="http://schemas.openxmlformats.org/officeDocument/2006/relationships/customXml" Target="../customXml/item2.xml"/><Relationship Id="rId16" Type="http://schemas.openxmlformats.org/officeDocument/2006/relationships/hyperlink" Target="https://www.abs.gov.au/statistics/economy/national-accounts/australian-national-accounts-national-income-expenditure-and-product/jun-20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sti.guidelines.org.au/populations-and-situations/women-who-have-sex-with-wom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1C-1F4F-8E16-A8F675871BA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1C-1F4F-8E16-A8F675871BA1}"/>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Poppins" pitchFamily="2" charset="77"/>
                    <a:ea typeface="+mn-ea"/>
                    <a:cs typeface="Poppins" pitchFamily="2" charset="77"/>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59</c:v>
                </c:pt>
                <c:pt idx="1">
                  <c:v>12</c:v>
                </c:pt>
              </c:numCache>
            </c:numRef>
          </c:val>
          <c:extLst>
            <c:ext xmlns:c16="http://schemas.microsoft.com/office/drawing/2014/chart" uri="{C3380CC4-5D6E-409C-BE32-E72D297353CC}">
              <c16:uniqueId val="{00000000-8277-1544-BB30-232547B79D3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Poppins" pitchFamily="2" charset="77"/>
              <a:ea typeface="+mn-ea"/>
              <a:cs typeface="Poppins" pitchFamily="2" charset="77"/>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Poppins" pitchFamily="2" charset="77"/>
          <a:cs typeface="Poppins" pitchFamily="2" charset="77"/>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CD41-294F-81DD-1DECC707B00A}"/>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CD41-294F-81DD-1DECC707B00A}"/>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CD41-294F-81DD-1DECC707B00A}"/>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CD41-294F-81DD-1DECC707B00A}"/>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Poppins" pitchFamily="2" charset="77"/>
                    <a:ea typeface="+mn-ea"/>
                    <a:cs typeface="Poppins" pitchFamily="2" charset="77"/>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No perceived demand</c:v>
                </c:pt>
                <c:pt idx="1">
                  <c:v>Staff not trained</c:v>
                </c:pt>
                <c:pt idx="2">
                  <c:v>Other</c:v>
                </c:pt>
                <c:pt idx="3">
                  <c:v>Conscientious objector</c:v>
                </c:pt>
              </c:strCache>
            </c:strRef>
          </c:cat>
          <c:val>
            <c:numRef>
              <c:f>Sheet1!$B$2:$B$5</c:f>
              <c:numCache>
                <c:formatCode>0%</c:formatCode>
                <c:ptCount val="4"/>
                <c:pt idx="0">
                  <c:v>0.38</c:v>
                </c:pt>
                <c:pt idx="1">
                  <c:v>0.21</c:v>
                </c:pt>
                <c:pt idx="2">
                  <c:v>0.36</c:v>
                </c:pt>
                <c:pt idx="3">
                  <c:v>0.05</c:v>
                </c:pt>
              </c:numCache>
            </c:numRef>
          </c:val>
          <c:extLst>
            <c:ext xmlns:c16="http://schemas.microsoft.com/office/drawing/2014/chart" uri="{C3380CC4-5D6E-409C-BE32-E72D297353CC}">
              <c16:uniqueId val="{00000000-C5E2-AC40-9D2F-A5FBFEC10576}"/>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Poppins" pitchFamily="2" charset="77"/>
              <a:ea typeface="+mn-ea"/>
              <a:cs typeface="Poppins" pitchFamily="2" charset="77"/>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Poppins" pitchFamily="2" charset="77"/>
          <a:cs typeface="Poppins" pitchFamily="2" charset="77"/>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eme1">
  <a:themeElements>
    <a:clrScheme name="Custom 2">
      <a:dk1>
        <a:sysClr val="windowText" lastClr="000000"/>
      </a:dk1>
      <a:lt1>
        <a:sysClr val="window" lastClr="FFFFFF"/>
      </a:lt1>
      <a:dk2>
        <a:srgbClr val="5F5F5F"/>
      </a:dk2>
      <a:lt2>
        <a:srgbClr val="E7E6E6"/>
      </a:lt2>
      <a:accent1>
        <a:srgbClr val="E20076"/>
      </a:accent1>
      <a:accent2>
        <a:srgbClr val="2DAC9E"/>
      </a:accent2>
      <a:accent3>
        <a:srgbClr val="85DFD4"/>
      </a:accent3>
      <a:accent4>
        <a:srgbClr val="DA4F86"/>
      </a:accent4>
      <a:accent5>
        <a:srgbClr val="E47BA4"/>
      </a:accent5>
      <a:accent6>
        <a:srgbClr val="74DACE"/>
      </a:accent6>
      <a:hlink>
        <a:srgbClr val="2DAC9E"/>
      </a:hlink>
      <a:folHlink>
        <a:srgbClr val="E2007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21c3ee-8445-4a29-acc9-822a9f5123b5" xsi:nil="true"/>
    <lcf76f155ced4ddcb4097134ff3c332f xmlns="87514a83-7e39-4d37-a252-f2460aa8dbc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5A99A012E91540A9A2EB5E439B670A" ma:contentTypeVersion="16" ma:contentTypeDescription="Create a new document." ma:contentTypeScope="" ma:versionID="2491163cf871750de847916339a0720e">
  <xsd:schema xmlns:xsd="http://www.w3.org/2001/XMLSchema" xmlns:xs="http://www.w3.org/2001/XMLSchema" xmlns:p="http://schemas.microsoft.com/office/2006/metadata/properties" xmlns:ns2="87514a83-7e39-4d37-a252-f2460aa8dbcc" xmlns:ns3="9121c3ee-8445-4a29-acc9-822a9f5123b5" targetNamespace="http://schemas.microsoft.com/office/2006/metadata/properties" ma:root="true" ma:fieldsID="bf5290b1736626ab0f8dfee2a1e82bf2" ns2:_="" ns3:_="">
    <xsd:import namespace="87514a83-7e39-4d37-a252-f2460aa8dbcc"/>
    <xsd:import namespace="9121c3ee-8445-4a29-acc9-822a9f512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14a83-7e39-4d37-a252-f2460aa8d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1c3ee-8445-4a29-acc9-822a9f5123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13e42-0b78-433f-be7c-0a21ffa97bc7}" ma:internalName="TaxCatchAll" ma:showField="CatchAllData" ma:web="9121c3ee-8445-4a29-acc9-822a9f51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B1E67-DDA6-4321-870B-598A0E686C7B}">
  <ds:schemaRefs>
    <ds:schemaRef ds:uri="http://schemas.microsoft.com/sharepoint/v3/contenttype/forms"/>
  </ds:schemaRefs>
</ds:datastoreItem>
</file>

<file path=customXml/itemProps2.xml><?xml version="1.0" encoding="utf-8"?>
<ds:datastoreItem xmlns:ds="http://schemas.openxmlformats.org/officeDocument/2006/customXml" ds:itemID="{0104E766-B51E-4D7F-8A5C-208487020813}">
  <ds:schemaRefs>
    <ds:schemaRef ds:uri="http://schemas.microsoft.com/office/2006/metadata/properties"/>
    <ds:schemaRef ds:uri="http://schemas.microsoft.com/office/infopath/2007/PartnerControls"/>
    <ds:schemaRef ds:uri="9121c3ee-8445-4a29-acc9-822a9f5123b5"/>
    <ds:schemaRef ds:uri="87514a83-7e39-4d37-a252-f2460aa8dbcc"/>
  </ds:schemaRefs>
</ds:datastoreItem>
</file>

<file path=customXml/itemProps3.xml><?xml version="1.0" encoding="utf-8"?>
<ds:datastoreItem xmlns:ds="http://schemas.openxmlformats.org/officeDocument/2006/customXml" ds:itemID="{4348C159-07BE-6443-B48B-24B7675F76D2}">
  <ds:schemaRefs>
    <ds:schemaRef ds:uri="http://schemas.openxmlformats.org/officeDocument/2006/bibliography"/>
  </ds:schemaRefs>
</ds:datastoreItem>
</file>

<file path=customXml/itemProps4.xml><?xml version="1.0" encoding="utf-8"?>
<ds:datastoreItem xmlns:ds="http://schemas.openxmlformats.org/officeDocument/2006/customXml" ds:itemID="{DB4416F8-7C6D-44A4-BA63-B6FBA670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14a83-7e39-4d37-a252-f2460aa8dbcc"/>
    <ds:schemaRef ds:uri="9121c3ee-8445-4a29-acc9-822a9f512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6100</Words>
  <Characters>34776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Mahoney</dc:creator>
  <cp:keywords/>
  <dc:description/>
  <cp:lastModifiedBy>Tilly Mahoney</cp:lastModifiedBy>
  <cp:revision>2</cp:revision>
  <dcterms:created xsi:type="dcterms:W3CDTF">2022-10-20T23:19:00Z</dcterms:created>
  <dcterms:modified xsi:type="dcterms:W3CDTF">2022-10-20T23:19:00Z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0x010100D05A99A012E91540A9A2EB5E439B670A</vt:lpwstr>
  </property>
  <property fmtid="{D5CDD505-2E9C-101B-9397-08002B2CF9AE}" pid="3" name="MediaServiceImageTags">
    <vt:lpwstr/>
  </property>
</Properties>
</file>